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E5" w:rsidRPr="00155789" w:rsidRDefault="00155789" w:rsidP="009A1982">
      <w:pPr>
        <w:spacing w:before="240" w:after="240" w:line="240" w:lineRule="auto"/>
        <w:contextualSpacing/>
        <w:jc w:val="center"/>
        <w:rPr>
          <w:rFonts w:ascii="Times New Roman" w:hAnsi="Times New Roman"/>
          <w:sz w:val="36"/>
        </w:rPr>
      </w:pPr>
      <w:bookmarkStart w:id="0" w:name="_GoBack"/>
      <w:bookmarkEnd w:id="0"/>
      <w:r w:rsidRPr="00155789">
        <w:rPr>
          <w:rFonts w:ascii="Times New Roman" w:hAnsi="Times New Roman"/>
          <w:sz w:val="36"/>
        </w:rPr>
        <w:t xml:space="preserve">Metadata </w:t>
      </w:r>
      <w:r w:rsidR="00BA7CBF">
        <w:rPr>
          <w:rFonts w:ascii="Times New Roman" w:hAnsi="Times New Roman"/>
          <w:sz w:val="36"/>
        </w:rPr>
        <w:t xml:space="preserve">template </w:t>
      </w:r>
      <w:r>
        <w:rPr>
          <w:rFonts w:ascii="Times New Roman" w:hAnsi="Times New Roman"/>
          <w:sz w:val="36"/>
        </w:rPr>
        <w:t xml:space="preserve">for </w:t>
      </w:r>
      <w:r w:rsidR="00BA7CBF">
        <w:rPr>
          <w:rFonts w:ascii="Times New Roman" w:hAnsi="Times New Roman"/>
          <w:sz w:val="36"/>
        </w:rPr>
        <w:t xml:space="preserve">datasets of </w:t>
      </w:r>
      <w:r w:rsidRPr="00BA7CBF">
        <w:rPr>
          <w:rFonts w:ascii="Times New Roman" w:hAnsi="Times New Roman"/>
          <w:i/>
          <w:sz w:val="36"/>
        </w:rPr>
        <w:t>L</w:t>
      </w:r>
      <w:r w:rsidR="008A5C3C">
        <w:rPr>
          <w:rFonts w:ascii="Times New Roman" w:hAnsi="Times New Roman"/>
          <w:i/>
          <w:sz w:val="36"/>
        </w:rPr>
        <w:t>&amp;</w:t>
      </w:r>
      <w:r w:rsidRPr="00BA7CBF">
        <w:rPr>
          <w:rFonts w:ascii="Times New Roman" w:hAnsi="Times New Roman"/>
          <w:i/>
          <w:sz w:val="36"/>
        </w:rPr>
        <w:t>O-Letters</w:t>
      </w:r>
      <w:r>
        <w:rPr>
          <w:rFonts w:ascii="Times New Roman" w:hAnsi="Times New Roman"/>
          <w:sz w:val="36"/>
        </w:rPr>
        <w:t xml:space="preserve"> </w:t>
      </w:r>
      <w:r w:rsidR="00BA7CBF">
        <w:rPr>
          <w:rFonts w:ascii="Times New Roman" w:hAnsi="Times New Roman"/>
          <w:sz w:val="36"/>
        </w:rPr>
        <w:t>articles</w:t>
      </w:r>
    </w:p>
    <w:p w:rsidR="008A5C3C" w:rsidRDefault="008A5C3C" w:rsidP="008A5C3C">
      <w:pPr>
        <w:spacing w:after="0" w:line="240" w:lineRule="auto"/>
        <w:rPr>
          <w:rFonts w:ascii="Times New Roman" w:hAnsi="Times New Roman"/>
          <w:b/>
        </w:rPr>
      </w:pPr>
    </w:p>
    <w:p w:rsidR="00E030C6" w:rsidRPr="0017567B" w:rsidRDefault="00E030C6" w:rsidP="00E030C6">
      <w:pPr>
        <w:spacing w:line="240" w:lineRule="auto"/>
        <w:rPr>
          <w:rFonts w:ascii="Times New Roman" w:hAnsi="Times New Roman"/>
        </w:rPr>
      </w:pPr>
      <w:proofErr w:type="gramStart"/>
      <w:r w:rsidRPr="0017567B">
        <w:rPr>
          <w:rFonts w:ascii="Times New Roman" w:hAnsi="Times New Roman"/>
          <w:b/>
        </w:rPr>
        <w:t>Table 1.</w:t>
      </w:r>
      <w:proofErr w:type="gramEnd"/>
      <w:r w:rsidRPr="0017567B">
        <w:rPr>
          <w:rFonts w:ascii="Times New Roman" w:hAnsi="Times New Roman"/>
        </w:rPr>
        <w:t xml:space="preserve"> Description of the fields needed to describe the creation of your dataset.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7470"/>
      </w:tblGrid>
      <w:tr w:rsidR="00BC5644" w:rsidRPr="0017567B" w:rsidTr="00D36C65">
        <w:tc>
          <w:tcPr>
            <w:tcW w:w="2538" w:type="dxa"/>
          </w:tcPr>
          <w:p w:rsidR="00BC5644" w:rsidRPr="0017567B" w:rsidRDefault="00BC5644" w:rsidP="00971C4C">
            <w:pPr>
              <w:pStyle w:val="NormalWeb"/>
              <w:spacing w:before="120" w:beforeAutospacing="0" w:after="120" w:afterAutospacing="0"/>
              <w:rPr>
                <w:b/>
                <w:sz w:val="22"/>
                <w:szCs w:val="22"/>
              </w:rPr>
            </w:pPr>
            <w:r w:rsidRPr="0017567B">
              <w:rPr>
                <w:b/>
                <w:sz w:val="22"/>
                <w:szCs w:val="22"/>
              </w:rPr>
              <w:t>Title</w:t>
            </w:r>
            <w:r w:rsidR="002C2CAD" w:rsidRPr="0017567B">
              <w:rPr>
                <w:b/>
                <w:sz w:val="22"/>
                <w:szCs w:val="22"/>
              </w:rPr>
              <w:t xml:space="preserve"> of dataset</w:t>
            </w:r>
          </w:p>
        </w:tc>
        <w:tc>
          <w:tcPr>
            <w:tcW w:w="7470" w:type="dxa"/>
            <w:vAlign w:val="center"/>
          </w:tcPr>
          <w:p w:rsidR="00BC5644" w:rsidRPr="00E428CF" w:rsidRDefault="00E428CF" w:rsidP="00BC2295">
            <w:pPr>
              <w:spacing w:before="120" w:after="120" w:line="240" w:lineRule="auto"/>
              <w:jc w:val="both"/>
              <w:rPr>
                <w:rFonts w:ascii="Times New Roman" w:hAnsi="Times New Roman"/>
                <w:i/>
              </w:rPr>
            </w:pPr>
            <w:r w:rsidRPr="00E428CF">
              <w:rPr>
                <w:rFonts w:ascii="Times New Roman" w:hAnsi="Times New Roman"/>
                <w:szCs w:val="18"/>
              </w:rPr>
              <w:t>Carbon and environmental data from 253 northern circumpolar ponds</w:t>
            </w:r>
          </w:p>
        </w:tc>
      </w:tr>
      <w:tr w:rsidR="003E320E" w:rsidRPr="0017567B" w:rsidTr="00D36C65">
        <w:tc>
          <w:tcPr>
            <w:tcW w:w="2538" w:type="dxa"/>
          </w:tcPr>
          <w:p w:rsidR="003E320E" w:rsidRPr="0017567B" w:rsidRDefault="003E320E" w:rsidP="00971C4C">
            <w:pPr>
              <w:pStyle w:val="NormalWeb"/>
              <w:spacing w:before="120" w:beforeAutospacing="0" w:after="120" w:afterAutospacing="0"/>
              <w:rPr>
                <w:b/>
                <w:sz w:val="22"/>
                <w:szCs w:val="22"/>
              </w:rPr>
            </w:pPr>
            <w:r>
              <w:rPr>
                <w:b/>
                <w:sz w:val="22"/>
                <w:szCs w:val="22"/>
              </w:rPr>
              <w:t>URL of dataset</w:t>
            </w:r>
          </w:p>
        </w:tc>
        <w:tc>
          <w:tcPr>
            <w:tcW w:w="7470" w:type="dxa"/>
            <w:vAlign w:val="center"/>
          </w:tcPr>
          <w:p w:rsidR="003E320E" w:rsidRPr="00C27E22" w:rsidRDefault="00783BC1" w:rsidP="00031BCF">
            <w:pPr>
              <w:spacing w:before="120" w:after="120" w:line="240" w:lineRule="auto"/>
              <w:rPr>
                <w:rFonts w:ascii="Times New Roman" w:hAnsi="Times New Roman"/>
              </w:rPr>
            </w:pPr>
            <w:hyperlink r:id="rId7" w:history="1">
              <w:r w:rsidR="00C27E22" w:rsidRPr="00C27E22">
                <w:rPr>
                  <w:rStyle w:val="Lienhypertexte"/>
                  <w:rFonts w:ascii="Times New Roman" w:hAnsi="Times New Roman"/>
                </w:rPr>
                <w:t>http://www.cen.ulaval.ca/nordicanad/</w:t>
              </w:r>
            </w:hyperlink>
          </w:p>
        </w:tc>
      </w:tr>
      <w:tr w:rsidR="00647AF0" w:rsidRPr="0017567B"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Abstract</w:t>
            </w:r>
          </w:p>
        </w:tc>
        <w:tc>
          <w:tcPr>
            <w:tcW w:w="7470" w:type="dxa"/>
            <w:vAlign w:val="center"/>
          </w:tcPr>
          <w:p w:rsidR="007A5451" w:rsidRPr="007A5451" w:rsidRDefault="007A5451" w:rsidP="00031BCF">
            <w:pPr>
              <w:spacing w:before="120" w:after="120" w:line="240" w:lineRule="auto"/>
              <w:jc w:val="both"/>
              <w:rPr>
                <w:rFonts w:ascii="Times New Roman" w:hAnsi="Times New Roman"/>
                <w:color w:val="000000" w:themeColor="text1"/>
                <w:lang w:val="en-CA" w:eastAsia="fr-CA"/>
              </w:rPr>
            </w:pPr>
            <w:r w:rsidRPr="007A5451">
              <w:rPr>
                <w:rFonts w:ascii="Times New Roman" w:hAnsi="Times New Roman"/>
                <w:lang w:val="en-CA" w:eastAsia="fr-CA"/>
              </w:rPr>
              <w:t xml:space="preserve">As permafrost thaws, new ponds emerge and vast stocks of carbon stored in frozen soils are released to aquatic ecosystems. By optical analyses of dissolved organic matter (DOM) in 253 ponds, we show the impact of thawing permafrost on DOM pools across the circumpolar North. Further, using stable isotopes, we quantified the contribution of terrestrial sources to the DOM pool in a subset of ponds in subarctic </w:t>
            </w:r>
            <w:r w:rsidRPr="007A5451">
              <w:rPr>
                <w:rFonts w:ascii="Times New Roman" w:hAnsi="Times New Roman"/>
                <w:color w:val="000000" w:themeColor="text1"/>
                <w:lang w:val="en-CA" w:eastAsia="fr-CA"/>
              </w:rPr>
              <w:t xml:space="preserve">Quebec. Optical analyses underscored a higher </w:t>
            </w:r>
            <w:r w:rsidR="00E50394">
              <w:rPr>
                <w:rFonts w:ascii="Times New Roman" w:hAnsi="Times New Roman"/>
                <w:color w:val="000000" w:themeColor="text1"/>
                <w:lang w:val="en-CA" w:eastAsia="fr-CA"/>
              </w:rPr>
              <w:t xml:space="preserve">proportion of </w:t>
            </w:r>
            <w:r w:rsidRPr="007A5451">
              <w:rPr>
                <w:rFonts w:ascii="Times New Roman" w:hAnsi="Times New Roman"/>
                <w:color w:val="000000" w:themeColor="text1"/>
                <w:lang w:val="en-CA" w:eastAsia="fr-CA"/>
              </w:rPr>
              <w:t xml:space="preserve">terrestrial carbon, and a lesser algal compounds contribution to DOM in ponds impacted by thawing permafrost. In the selected subarctic ponds, DOM composition was dominated by terrestrial substances (93.2 ± 8.2%) in sites that were influenced by thawing permafrost compared to ponds with bedrock (36.2 ± 34.9%) or non-permafrost tundra soils (42.1 ± 20.3%) in the watershed. Our results demonstrate the strong terrestrial imprint on </w:t>
            </w:r>
            <w:r w:rsidRPr="007A5451">
              <w:rPr>
                <w:rFonts w:ascii="Times New Roman" w:hAnsi="Times New Roman"/>
                <w:lang w:val="en-CA" w:eastAsia="fr-CA"/>
              </w:rPr>
              <w:t>freshwater ecosystems in degrading permafrost catchments, and the likely shift towards dominance of land-derived organic carbon in high-latitude waters with ongoing permafrost thaw.</w:t>
            </w:r>
          </w:p>
        </w:tc>
      </w:tr>
      <w:tr w:rsidR="00647AF0" w:rsidRPr="0017567B"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Keywords</w:t>
            </w:r>
          </w:p>
        </w:tc>
        <w:tc>
          <w:tcPr>
            <w:tcW w:w="7470" w:type="dxa"/>
            <w:vAlign w:val="center"/>
          </w:tcPr>
          <w:p w:rsidR="00647AF0" w:rsidRPr="001C5BE4" w:rsidRDefault="007A5451" w:rsidP="007C76CB">
            <w:pPr>
              <w:spacing w:before="120" w:after="120" w:line="240" w:lineRule="auto"/>
              <w:rPr>
                <w:rFonts w:ascii="Times New Roman" w:hAnsi="Times New Roman"/>
                <w:lang w:val="en-CA" w:eastAsia="fr-CA"/>
              </w:rPr>
            </w:pPr>
            <w:r>
              <w:rPr>
                <w:rFonts w:ascii="Times New Roman" w:hAnsi="Times New Roman"/>
                <w:lang w:val="en-CA" w:eastAsia="fr-CA"/>
              </w:rPr>
              <w:t>p</w:t>
            </w:r>
            <w:r w:rsidR="001C5BE4" w:rsidRPr="001C5BE4">
              <w:rPr>
                <w:rFonts w:ascii="Times New Roman" w:hAnsi="Times New Roman"/>
                <w:lang w:val="en-CA" w:eastAsia="fr-CA"/>
              </w:rPr>
              <w:t xml:space="preserve">ermafrost thaw, </w:t>
            </w:r>
            <w:r w:rsidR="007C76CB">
              <w:rPr>
                <w:rFonts w:ascii="Times New Roman" w:hAnsi="Times New Roman"/>
                <w:lang w:val="en-CA" w:eastAsia="fr-CA"/>
              </w:rPr>
              <w:t>n</w:t>
            </w:r>
            <w:r w:rsidR="005327E5" w:rsidRPr="005327E5">
              <w:rPr>
                <w:rFonts w:ascii="Times New Roman" w:hAnsi="Times New Roman"/>
                <w:lang w:val="en-CA" w:eastAsia="fr-CA"/>
              </w:rPr>
              <w:t>orthern circumpolar ponds</w:t>
            </w:r>
            <w:r w:rsidR="005327E5">
              <w:rPr>
                <w:rFonts w:ascii="Times New Roman" w:hAnsi="Times New Roman"/>
                <w:lang w:val="en-CA" w:eastAsia="fr-CA"/>
              </w:rPr>
              <w:t>,</w:t>
            </w:r>
            <w:r w:rsidR="00167A10">
              <w:rPr>
                <w:rFonts w:ascii="Times New Roman" w:hAnsi="Times New Roman"/>
                <w:lang w:val="en-CA" w:eastAsia="fr-CA"/>
              </w:rPr>
              <w:t xml:space="preserve"> DOM,</w:t>
            </w:r>
            <w:r w:rsidR="005327E5">
              <w:rPr>
                <w:rFonts w:ascii="Times New Roman" w:hAnsi="Times New Roman"/>
                <w:lang w:val="en-CA" w:eastAsia="fr-CA"/>
              </w:rPr>
              <w:t xml:space="preserve"> </w:t>
            </w:r>
            <w:r>
              <w:rPr>
                <w:rFonts w:ascii="Times New Roman" w:hAnsi="Times New Roman"/>
                <w:lang w:val="en-CA" w:eastAsia="fr-CA"/>
              </w:rPr>
              <w:t>chlorophyll</w:t>
            </w:r>
            <w:r w:rsidR="007E2CB0">
              <w:rPr>
                <w:rFonts w:ascii="Times New Roman" w:hAnsi="Times New Roman"/>
                <w:lang w:val="en-CA" w:eastAsia="fr-CA"/>
              </w:rPr>
              <w:t xml:space="preserve"> </w:t>
            </w:r>
            <w:r w:rsidRPr="00CB4961">
              <w:rPr>
                <w:rFonts w:ascii="Times New Roman" w:hAnsi="Times New Roman"/>
                <w:i/>
                <w:lang w:val="en-CA" w:eastAsia="fr-CA"/>
              </w:rPr>
              <w:t>a</w:t>
            </w:r>
            <w:r w:rsidR="00CA132D">
              <w:rPr>
                <w:rFonts w:ascii="Times New Roman" w:hAnsi="Times New Roman"/>
                <w:lang w:val="en-CA" w:eastAsia="fr-CA"/>
              </w:rPr>
              <w:t>,</w:t>
            </w:r>
            <w:r>
              <w:rPr>
                <w:rFonts w:ascii="Times New Roman" w:hAnsi="Times New Roman"/>
                <w:lang w:val="en-CA" w:eastAsia="fr-CA"/>
              </w:rPr>
              <w:t xml:space="preserve"> </w:t>
            </w:r>
            <w:r w:rsidR="001C5BE4">
              <w:rPr>
                <w:rFonts w:ascii="Times New Roman" w:hAnsi="Times New Roman"/>
                <w:lang w:val="en-CA" w:eastAsia="fr-CA"/>
              </w:rPr>
              <w:t xml:space="preserve">DOC, CDOM, </w:t>
            </w:r>
            <w:r w:rsidR="001C5BE4" w:rsidRPr="001C5BE4">
              <w:rPr>
                <w:rFonts w:ascii="Times New Roman" w:hAnsi="Times New Roman"/>
                <w:lang w:val="en-CA" w:eastAsia="fr-CA"/>
              </w:rPr>
              <w:t xml:space="preserve">PARAFAC, stable isotopes, </w:t>
            </w:r>
            <w:r w:rsidR="001C5BE4">
              <w:rPr>
                <w:rFonts w:ascii="Times New Roman" w:hAnsi="Times New Roman"/>
                <w:lang w:val="en-CA" w:eastAsia="fr-CA"/>
              </w:rPr>
              <w:t>d13C, d2H</w:t>
            </w:r>
          </w:p>
        </w:tc>
      </w:tr>
      <w:tr w:rsidR="00647AF0" w:rsidRPr="0017567B" w:rsidTr="00D36C65">
        <w:tc>
          <w:tcPr>
            <w:tcW w:w="2538" w:type="dxa"/>
          </w:tcPr>
          <w:p w:rsidR="00647AF0" w:rsidRPr="0017567B" w:rsidRDefault="006224DE" w:rsidP="00971C4C">
            <w:pPr>
              <w:pStyle w:val="NormalWeb"/>
              <w:spacing w:before="120" w:beforeAutospacing="0" w:after="120" w:afterAutospacing="0"/>
              <w:rPr>
                <w:b/>
                <w:sz w:val="22"/>
                <w:szCs w:val="22"/>
              </w:rPr>
            </w:pPr>
            <w:r>
              <w:rPr>
                <w:b/>
                <w:sz w:val="22"/>
                <w:szCs w:val="22"/>
              </w:rPr>
              <w:t xml:space="preserve">Dataset lead author </w:t>
            </w:r>
          </w:p>
        </w:tc>
        <w:tc>
          <w:tcPr>
            <w:tcW w:w="7470" w:type="dxa"/>
            <w:vAlign w:val="center"/>
          </w:tcPr>
          <w:p w:rsidR="00647AF0" w:rsidRPr="001C5BE4" w:rsidRDefault="001C5BE4" w:rsidP="00031BCF">
            <w:pPr>
              <w:pStyle w:val="NormalWeb"/>
              <w:spacing w:before="120" w:beforeAutospacing="0" w:after="120" w:afterAutospacing="0"/>
              <w:rPr>
                <w:sz w:val="22"/>
                <w:szCs w:val="22"/>
              </w:rPr>
            </w:pPr>
            <w:r w:rsidRPr="001C5BE4">
              <w:rPr>
                <w:sz w:val="22"/>
                <w:szCs w:val="22"/>
              </w:rPr>
              <w:t>Maxime Wauthy</w:t>
            </w:r>
          </w:p>
        </w:tc>
      </w:tr>
      <w:tr w:rsidR="00647AF0" w:rsidRPr="0017567B" w:rsidTr="00D36C65">
        <w:trPr>
          <w:trHeight w:val="332"/>
        </w:trPr>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Position</w:t>
            </w:r>
            <w:r w:rsidR="002C2CAD" w:rsidRPr="0017567B">
              <w:rPr>
                <w:b/>
                <w:sz w:val="22"/>
                <w:szCs w:val="22"/>
              </w:rPr>
              <w:t xml:space="preserve"> of </w:t>
            </w:r>
            <w:r w:rsidR="00D60162">
              <w:rPr>
                <w:b/>
                <w:sz w:val="22"/>
                <w:szCs w:val="22"/>
              </w:rPr>
              <w:t xml:space="preserve">data </w:t>
            </w:r>
            <w:r w:rsidR="006224DE">
              <w:rPr>
                <w:b/>
                <w:sz w:val="22"/>
                <w:szCs w:val="22"/>
              </w:rPr>
              <w:t>author</w:t>
            </w:r>
          </w:p>
        </w:tc>
        <w:tc>
          <w:tcPr>
            <w:tcW w:w="7470" w:type="dxa"/>
            <w:vAlign w:val="center"/>
          </w:tcPr>
          <w:p w:rsidR="00647AF0" w:rsidRPr="001C5BE4" w:rsidRDefault="001C5BE4" w:rsidP="00031BCF">
            <w:pPr>
              <w:pStyle w:val="NormalWeb"/>
              <w:spacing w:before="120" w:beforeAutospacing="0" w:after="120" w:afterAutospacing="0"/>
              <w:rPr>
                <w:sz w:val="22"/>
                <w:szCs w:val="22"/>
              </w:rPr>
            </w:pPr>
            <w:r w:rsidRPr="001C5BE4">
              <w:rPr>
                <w:sz w:val="22"/>
                <w:szCs w:val="22"/>
              </w:rPr>
              <w:t>PhD student</w:t>
            </w:r>
          </w:p>
        </w:tc>
      </w:tr>
      <w:tr w:rsidR="00647AF0" w:rsidRPr="00927639"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Address</w:t>
            </w:r>
            <w:r w:rsidR="002C2CAD" w:rsidRPr="0017567B">
              <w:rPr>
                <w:b/>
                <w:sz w:val="22"/>
                <w:szCs w:val="22"/>
              </w:rPr>
              <w:t xml:space="preserve"> of </w:t>
            </w:r>
            <w:r w:rsidR="00D60162">
              <w:rPr>
                <w:b/>
                <w:sz w:val="22"/>
                <w:szCs w:val="22"/>
              </w:rPr>
              <w:t xml:space="preserve">data </w:t>
            </w:r>
            <w:r w:rsidR="006224DE">
              <w:rPr>
                <w:b/>
                <w:sz w:val="22"/>
                <w:szCs w:val="22"/>
              </w:rPr>
              <w:t>author</w:t>
            </w:r>
          </w:p>
        </w:tc>
        <w:tc>
          <w:tcPr>
            <w:tcW w:w="7470" w:type="dxa"/>
            <w:vAlign w:val="center"/>
          </w:tcPr>
          <w:p w:rsidR="00BE3E9D" w:rsidRPr="001C5BE4" w:rsidRDefault="001C5BE4" w:rsidP="00031BCF">
            <w:pPr>
              <w:pStyle w:val="NormalWeb"/>
              <w:spacing w:before="120" w:beforeAutospacing="0" w:after="120" w:afterAutospacing="0"/>
              <w:rPr>
                <w:i/>
                <w:sz w:val="22"/>
                <w:szCs w:val="22"/>
                <w:lang w:val="fr-CA"/>
              </w:rPr>
            </w:pPr>
            <w:r w:rsidRPr="00811AF8">
              <w:rPr>
                <w:sz w:val="22"/>
                <w:lang w:val="fr-CA" w:eastAsia="fr-CA"/>
              </w:rPr>
              <w:t xml:space="preserve">Département des </w:t>
            </w:r>
            <w:r w:rsidRPr="001C5BE4">
              <w:rPr>
                <w:sz w:val="22"/>
                <w:lang w:val="fr-CA" w:eastAsia="fr-CA"/>
              </w:rPr>
              <w:t>sciences fondamentales</w:t>
            </w:r>
            <w:r w:rsidRPr="001C5BE4">
              <w:rPr>
                <w:sz w:val="22"/>
                <w:lang w:val="fr-CA" w:eastAsia="fr-CA"/>
              </w:rPr>
              <w:br/>
              <w:t xml:space="preserve">Université du Québec à Chicoutimi (UQAC) </w:t>
            </w:r>
            <w:r w:rsidRPr="001C5BE4">
              <w:rPr>
                <w:sz w:val="22"/>
                <w:lang w:val="fr-CA" w:eastAsia="fr-CA"/>
              </w:rPr>
              <w:br/>
              <w:t>555, boulevard de l’Université</w:t>
            </w:r>
            <w:r w:rsidRPr="001C5BE4">
              <w:rPr>
                <w:sz w:val="22"/>
                <w:lang w:val="fr-CA" w:eastAsia="fr-CA"/>
              </w:rPr>
              <w:br/>
              <w:t xml:space="preserve"> Chicoutimi (QC)    G7H2B1    Canada</w:t>
            </w:r>
          </w:p>
        </w:tc>
      </w:tr>
      <w:tr w:rsidR="00647AF0" w:rsidRPr="0017567B" w:rsidTr="00D36C65">
        <w:tc>
          <w:tcPr>
            <w:tcW w:w="2538" w:type="dxa"/>
          </w:tcPr>
          <w:p w:rsidR="00647AF0" w:rsidRPr="0017567B" w:rsidRDefault="00D60162" w:rsidP="00971C4C">
            <w:pPr>
              <w:pStyle w:val="NormalWeb"/>
              <w:spacing w:before="120" w:beforeAutospacing="0" w:after="120" w:afterAutospacing="0"/>
              <w:rPr>
                <w:b/>
                <w:sz w:val="22"/>
                <w:szCs w:val="22"/>
              </w:rPr>
            </w:pPr>
            <w:r>
              <w:rPr>
                <w:b/>
                <w:sz w:val="22"/>
                <w:szCs w:val="22"/>
              </w:rPr>
              <w:t>Email a</w:t>
            </w:r>
            <w:r w:rsidR="00647AF0" w:rsidRPr="0017567B">
              <w:rPr>
                <w:b/>
                <w:sz w:val="22"/>
                <w:szCs w:val="22"/>
              </w:rPr>
              <w:t>ddress</w:t>
            </w:r>
            <w:r w:rsidR="002C2CAD" w:rsidRPr="0017567B">
              <w:rPr>
                <w:b/>
                <w:sz w:val="22"/>
                <w:szCs w:val="22"/>
              </w:rPr>
              <w:t xml:space="preserve"> of </w:t>
            </w:r>
            <w:r>
              <w:rPr>
                <w:b/>
                <w:sz w:val="22"/>
                <w:szCs w:val="22"/>
              </w:rPr>
              <w:t xml:space="preserve">data </w:t>
            </w:r>
            <w:r w:rsidR="006224DE">
              <w:rPr>
                <w:b/>
                <w:sz w:val="22"/>
                <w:szCs w:val="22"/>
              </w:rPr>
              <w:t>author</w:t>
            </w:r>
          </w:p>
        </w:tc>
        <w:tc>
          <w:tcPr>
            <w:tcW w:w="7470" w:type="dxa"/>
            <w:vAlign w:val="center"/>
          </w:tcPr>
          <w:p w:rsidR="00647AF0" w:rsidRPr="001C5BE4" w:rsidRDefault="001C5BE4" w:rsidP="00031BCF">
            <w:pPr>
              <w:pStyle w:val="NormalWeb"/>
              <w:spacing w:before="120" w:beforeAutospacing="0" w:after="120" w:afterAutospacing="0"/>
              <w:rPr>
                <w:sz w:val="22"/>
                <w:szCs w:val="22"/>
              </w:rPr>
            </w:pPr>
            <w:r w:rsidRPr="001C5BE4">
              <w:rPr>
                <w:sz w:val="22"/>
                <w:szCs w:val="22"/>
              </w:rPr>
              <w:t>maximewauthy@hotmail.com</w:t>
            </w:r>
          </w:p>
        </w:tc>
      </w:tr>
      <w:tr w:rsidR="00647AF0" w:rsidRPr="0017567B" w:rsidTr="00D36C65">
        <w:tc>
          <w:tcPr>
            <w:tcW w:w="2538" w:type="dxa"/>
          </w:tcPr>
          <w:p w:rsidR="00647AF0" w:rsidRPr="0017567B" w:rsidRDefault="002C2CAD" w:rsidP="00971C4C">
            <w:pPr>
              <w:pStyle w:val="NormalWeb"/>
              <w:spacing w:before="120" w:beforeAutospacing="0" w:after="120" w:afterAutospacing="0"/>
              <w:rPr>
                <w:b/>
                <w:sz w:val="22"/>
                <w:szCs w:val="22"/>
              </w:rPr>
            </w:pPr>
            <w:r w:rsidRPr="0017567B">
              <w:rPr>
                <w:b/>
                <w:sz w:val="22"/>
                <w:szCs w:val="22"/>
              </w:rPr>
              <w:t>Primary c</w:t>
            </w:r>
            <w:r w:rsidR="00647AF0" w:rsidRPr="0017567B">
              <w:rPr>
                <w:b/>
                <w:sz w:val="22"/>
                <w:szCs w:val="22"/>
              </w:rPr>
              <w:t>ontact</w:t>
            </w:r>
            <w:r w:rsidR="00D60162">
              <w:rPr>
                <w:b/>
                <w:sz w:val="22"/>
                <w:szCs w:val="22"/>
              </w:rPr>
              <w:t xml:space="preserve"> person for dataset</w:t>
            </w:r>
          </w:p>
        </w:tc>
        <w:tc>
          <w:tcPr>
            <w:tcW w:w="7470" w:type="dxa"/>
            <w:vAlign w:val="center"/>
          </w:tcPr>
          <w:p w:rsidR="00647AF0" w:rsidRPr="00B6284C" w:rsidRDefault="00B6284C" w:rsidP="00031BCF">
            <w:pPr>
              <w:pStyle w:val="NormalWeb"/>
              <w:spacing w:before="120" w:beforeAutospacing="0" w:after="120" w:afterAutospacing="0"/>
              <w:rPr>
                <w:sz w:val="22"/>
                <w:szCs w:val="22"/>
              </w:rPr>
            </w:pPr>
            <w:r w:rsidRPr="00B6284C">
              <w:rPr>
                <w:sz w:val="22"/>
                <w:szCs w:val="22"/>
              </w:rPr>
              <w:t>Same as author</w:t>
            </w:r>
          </w:p>
        </w:tc>
      </w:tr>
      <w:tr w:rsidR="00647AF0" w:rsidRPr="0017567B"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Position</w:t>
            </w:r>
            <w:r w:rsidR="002C2CAD" w:rsidRPr="0017567B">
              <w:rPr>
                <w:b/>
                <w:sz w:val="22"/>
                <w:szCs w:val="22"/>
              </w:rPr>
              <w:t xml:space="preserve"> of </w:t>
            </w:r>
            <w:r w:rsidR="00D60162">
              <w:rPr>
                <w:b/>
                <w:sz w:val="22"/>
                <w:szCs w:val="22"/>
              </w:rPr>
              <w:t xml:space="preserve">primary </w:t>
            </w:r>
            <w:r w:rsidR="002C2CAD" w:rsidRPr="0017567B">
              <w:rPr>
                <w:b/>
                <w:sz w:val="22"/>
                <w:szCs w:val="22"/>
              </w:rPr>
              <w:t>contact</w:t>
            </w:r>
            <w:r w:rsidR="00D60162">
              <w:rPr>
                <w:b/>
                <w:sz w:val="22"/>
                <w:szCs w:val="22"/>
              </w:rPr>
              <w:t xml:space="preserve"> person</w:t>
            </w:r>
          </w:p>
        </w:tc>
        <w:tc>
          <w:tcPr>
            <w:tcW w:w="7470" w:type="dxa"/>
            <w:vAlign w:val="center"/>
          </w:tcPr>
          <w:p w:rsidR="00647AF0" w:rsidRPr="00B6284C" w:rsidRDefault="00B6284C" w:rsidP="00031BCF">
            <w:pPr>
              <w:pStyle w:val="NormalWeb"/>
              <w:spacing w:before="120" w:beforeAutospacing="0" w:after="120" w:afterAutospacing="0"/>
              <w:rPr>
                <w:sz w:val="22"/>
                <w:szCs w:val="22"/>
              </w:rPr>
            </w:pPr>
            <w:r w:rsidRPr="00B6284C">
              <w:rPr>
                <w:sz w:val="22"/>
                <w:szCs w:val="22"/>
              </w:rPr>
              <w:t>n/a</w:t>
            </w:r>
          </w:p>
        </w:tc>
      </w:tr>
      <w:tr w:rsidR="00647AF0" w:rsidRPr="001C5BE4"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Address</w:t>
            </w:r>
            <w:r w:rsidR="002C2CAD" w:rsidRPr="0017567B">
              <w:rPr>
                <w:b/>
                <w:sz w:val="22"/>
                <w:szCs w:val="22"/>
              </w:rPr>
              <w:t xml:space="preserve"> of </w:t>
            </w:r>
            <w:r w:rsidR="00D60162">
              <w:rPr>
                <w:b/>
                <w:sz w:val="22"/>
                <w:szCs w:val="22"/>
              </w:rPr>
              <w:t xml:space="preserve">primary </w:t>
            </w:r>
            <w:r w:rsidR="002C2CAD" w:rsidRPr="0017567B">
              <w:rPr>
                <w:b/>
                <w:sz w:val="22"/>
                <w:szCs w:val="22"/>
              </w:rPr>
              <w:t>contact</w:t>
            </w:r>
            <w:r w:rsidR="00D60162">
              <w:rPr>
                <w:b/>
                <w:sz w:val="22"/>
                <w:szCs w:val="22"/>
              </w:rPr>
              <w:t xml:space="preserve"> person</w:t>
            </w:r>
          </w:p>
        </w:tc>
        <w:tc>
          <w:tcPr>
            <w:tcW w:w="7470" w:type="dxa"/>
            <w:vAlign w:val="center"/>
          </w:tcPr>
          <w:p w:rsidR="00647AF0" w:rsidRPr="00B6284C" w:rsidRDefault="00B6284C" w:rsidP="00031BCF">
            <w:pPr>
              <w:pStyle w:val="NormalWeb"/>
              <w:spacing w:before="120" w:beforeAutospacing="0" w:after="120" w:afterAutospacing="0"/>
              <w:rPr>
                <w:sz w:val="22"/>
                <w:szCs w:val="22"/>
                <w:lang w:val="fr-CA"/>
              </w:rPr>
            </w:pPr>
            <w:r w:rsidRPr="00B6284C">
              <w:rPr>
                <w:sz w:val="22"/>
                <w:szCs w:val="22"/>
              </w:rPr>
              <w:t>n/a</w:t>
            </w:r>
          </w:p>
        </w:tc>
      </w:tr>
      <w:tr w:rsidR="00647AF0" w:rsidRPr="0017567B" w:rsidTr="00D36C65">
        <w:tc>
          <w:tcPr>
            <w:tcW w:w="2538" w:type="dxa"/>
          </w:tcPr>
          <w:p w:rsidR="00647AF0" w:rsidRPr="0017567B" w:rsidRDefault="002C2CAD" w:rsidP="00971C4C">
            <w:pPr>
              <w:pStyle w:val="NormalWeb"/>
              <w:spacing w:before="120" w:beforeAutospacing="0" w:after="120" w:afterAutospacing="0"/>
              <w:rPr>
                <w:b/>
                <w:sz w:val="22"/>
                <w:szCs w:val="22"/>
              </w:rPr>
            </w:pPr>
            <w:r w:rsidRPr="0017567B">
              <w:rPr>
                <w:b/>
                <w:sz w:val="22"/>
                <w:szCs w:val="22"/>
              </w:rPr>
              <w:t>Email a</w:t>
            </w:r>
            <w:r w:rsidR="00647AF0" w:rsidRPr="0017567B">
              <w:rPr>
                <w:b/>
                <w:sz w:val="22"/>
                <w:szCs w:val="22"/>
              </w:rPr>
              <w:t>ddress</w:t>
            </w:r>
            <w:r w:rsidRPr="0017567B">
              <w:rPr>
                <w:b/>
                <w:sz w:val="22"/>
                <w:szCs w:val="22"/>
              </w:rPr>
              <w:t xml:space="preserve"> of </w:t>
            </w:r>
            <w:r w:rsidR="00D60162">
              <w:rPr>
                <w:b/>
                <w:sz w:val="22"/>
                <w:szCs w:val="22"/>
              </w:rPr>
              <w:t xml:space="preserve">primary </w:t>
            </w:r>
            <w:r w:rsidRPr="0017567B">
              <w:rPr>
                <w:b/>
                <w:sz w:val="22"/>
                <w:szCs w:val="22"/>
              </w:rPr>
              <w:t>contact</w:t>
            </w:r>
            <w:r w:rsidR="00D60162">
              <w:rPr>
                <w:b/>
                <w:sz w:val="22"/>
                <w:szCs w:val="22"/>
              </w:rPr>
              <w:t xml:space="preserve"> person</w:t>
            </w:r>
          </w:p>
        </w:tc>
        <w:tc>
          <w:tcPr>
            <w:tcW w:w="7470" w:type="dxa"/>
            <w:vAlign w:val="center"/>
          </w:tcPr>
          <w:p w:rsidR="00647AF0" w:rsidRPr="00B6284C" w:rsidRDefault="00B6284C" w:rsidP="00031BCF">
            <w:pPr>
              <w:pStyle w:val="NormalWeb"/>
              <w:spacing w:before="120" w:beforeAutospacing="0" w:after="120" w:afterAutospacing="0"/>
              <w:rPr>
                <w:sz w:val="22"/>
                <w:szCs w:val="22"/>
              </w:rPr>
            </w:pPr>
            <w:r w:rsidRPr="00B6284C">
              <w:rPr>
                <w:sz w:val="22"/>
                <w:szCs w:val="22"/>
              </w:rPr>
              <w:t>n/a</w:t>
            </w:r>
          </w:p>
        </w:tc>
      </w:tr>
    </w:tbl>
    <w:p w:rsidR="00E428CF" w:rsidRDefault="00E428CF">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7470"/>
      </w:tblGrid>
      <w:tr w:rsidR="00647AF0" w:rsidRPr="00235A72"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lastRenderedPageBreak/>
              <w:t>Organization</w:t>
            </w:r>
            <w:r w:rsidR="002C2CAD" w:rsidRPr="0017567B">
              <w:rPr>
                <w:b/>
                <w:sz w:val="22"/>
                <w:szCs w:val="22"/>
              </w:rPr>
              <w:t xml:space="preserve"> associated with the data</w:t>
            </w:r>
          </w:p>
        </w:tc>
        <w:tc>
          <w:tcPr>
            <w:tcW w:w="7470" w:type="dxa"/>
            <w:vAlign w:val="center"/>
          </w:tcPr>
          <w:p w:rsidR="009A1982" w:rsidRPr="001F3B6B" w:rsidRDefault="001F3B6B" w:rsidP="005327E5">
            <w:pPr>
              <w:pStyle w:val="NormalWeb"/>
              <w:spacing w:before="120" w:beforeAutospacing="0" w:after="120" w:afterAutospacing="0"/>
              <w:jc w:val="both"/>
              <w:rPr>
                <w:color w:val="000000" w:themeColor="text1"/>
                <w:sz w:val="22"/>
                <w:szCs w:val="22"/>
              </w:rPr>
            </w:pPr>
            <w:r w:rsidRPr="001F3B6B">
              <w:rPr>
                <w:color w:val="000000" w:themeColor="text1"/>
                <w:sz w:val="22"/>
                <w:szCs w:val="22"/>
              </w:rPr>
              <w:t>Centre for Northern Studies,</w:t>
            </w:r>
            <w:r>
              <w:rPr>
                <w:color w:val="000000" w:themeColor="text1"/>
                <w:sz w:val="22"/>
                <w:szCs w:val="22"/>
              </w:rPr>
              <w:t xml:space="preserve"> </w:t>
            </w:r>
            <w:proofErr w:type="spellStart"/>
            <w:r w:rsidR="009A1982" w:rsidRPr="001F3B6B">
              <w:rPr>
                <w:color w:val="000000" w:themeColor="text1"/>
                <w:sz w:val="22"/>
                <w:szCs w:val="22"/>
              </w:rPr>
              <w:t>Institut</w:t>
            </w:r>
            <w:proofErr w:type="spellEnd"/>
            <w:r w:rsidR="009A1982" w:rsidRPr="001F3B6B">
              <w:rPr>
                <w:color w:val="000000" w:themeColor="text1"/>
                <w:sz w:val="22"/>
                <w:szCs w:val="22"/>
              </w:rPr>
              <w:t xml:space="preserve"> national de la </w:t>
            </w:r>
            <w:proofErr w:type="spellStart"/>
            <w:r w:rsidR="009A1982" w:rsidRPr="001F3B6B">
              <w:rPr>
                <w:color w:val="000000" w:themeColor="text1"/>
                <w:sz w:val="22"/>
                <w:szCs w:val="22"/>
              </w:rPr>
              <w:t>recherche</w:t>
            </w:r>
            <w:proofErr w:type="spellEnd"/>
            <w:r w:rsidR="009A1982" w:rsidRPr="001F3B6B">
              <w:rPr>
                <w:color w:val="000000" w:themeColor="text1"/>
                <w:sz w:val="22"/>
                <w:szCs w:val="22"/>
              </w:rPr>
              <w:t xml:space="preserve"> </w:t>
            </w:r>
            <w:proofErr w:type="spellStart"/>
            <w:r w:rsidR="009A1982" w:rsidRPr="001F3B6B">
              <w:rPr>
                <w:color w:val="000000" w:themeColor="text1"/>
                <w:sz w:val="22"/>
                <w:szCs w:val="22"/>
              </w:rPr>
              <w:t>scientifique</w:t>
            </w:r>
            <w:proofErr w:type="spellEnd"/>
            <w:r w:rsidR="005327E5" w:rsidRPr="001F3B6B">
              <w:rPr>
                <w:color w:val="000000" w:themeColor="text1"/>
                <w:sz w:val="22"/>
                <w:szCs w:val="22"/>
              </w:rPr>
              <w:t xml:space="preserve">, </w:t>
            </w:r>
            <w:r w:rsidR="009A1982" w:rsidRPr="001F3B6B">
              <w:rPr>
                <w:color w:val="000000" w:themeColor="text1"/>
                <w:sz w:val="22"/>
                <w:szCs w:val="22"/>
                <w:lang w:eastAsia="en-CA"/>
              </w:rPr>
              <w:t xml:space="preserve">Laval University, </w:t>
            </w:r>
            <w:proofErr w:type="spellStart"/>
            <w:r w:rsidR="009A1982" w:rsidRPr="001F3B6B">
              <w:rPr>
                <w:color w:val="000000" w:themeColor="text1"/>
                <w:sz w:val="22"/>
                <w:szCs w:val="22"/>
                <w:lang w:eastAsia="fr-CA"/>
              </w:rPr>
              <w:t>Université</w:t>
            </w:r>
            <w:proofErr w:type="spellEnd"/>
            <w:r w:rsidR="009A1982" w:rsidRPr="001F3B6B">
              <w:rPr>
                <w:color w:val="000000" w:themeColor="text1"/>
                <w:sz w:val="22"/>
                <w:szCs w:val="22"/>
                <w:lang w:eastAsia="fr-CA"/>
              </w:rPr>
              <w:t xml:space="preserve"> du Québec à Chicoutimi</w:t>
            </w:r>
            <w:r w:rsidR="009A1982" w:rsidRPr="001F3B6B">
              <w:rPr>
                <w:color w:val="000000" w:themeColor="text1"/>
                <w:sz w:val="22"/>
                <w:szCs w:val="22"/>
                <w:lang w:eastAsia="en-CA"/>
              </w:rPr>
              <w:t>, University Centre in Svalbard, University of Copenhagen</w:t>
            </w:r>
            <w:r w:rsidR="005327E5" w:rsidRPr="001F3B6B">
              <w:rPr>
                <w:color w:val="000000" w:themeColor="text1"/>
                <w:sz w:val="22"/>
                <w:szCs w:val="22"/>
                <w:lang w:eastAsia="en-CA"/>
              </w:rPr>
              <w:t>.</w:t>
            </w:r>
          </w:p>
        </w:tc>
      </w:tr>
      <w:tr w:rsidR="002C2CAD" w:rsidRPr="0017567B" w:rsidTr="00D36C65">
        <w:tc>
          <w:tcPr>
            <w:tcW w:w="2538" w:type="dxa"/>
          </w:tcPr>
          <w:p w:rsidR="00647AF0" w:rsidRPr="0017567B" w:rsidRDefault="002C2CAD" w:rsidP="00971C4C">
            <w:pPr>
              <w:pStyle w:val="NormalWeb"/>
              <w:spacing w:before="120" w:beforeAutospacing="0" w:after="120" w:afterAutospacing="0"/>
              <w:rPr>
                <w:b/>
                <w:sz w:val="22"/>
                <w:szCs w:val="22"/>
              </w:rPr>
            </w:pPr>
            <w:r w:rsidRPr="0017567B">
              <w:rPr>
                <w:b/>
                <w:sz w:val="22"/>
                <w:szCs w:val="22"/>
              </w:rPr>
              <w:t>Usage Rights</w:t>
            </w:r>
          </w:p>
        </w:tc>
        <w:tc>
          <w:tcPr>
            <w:tcW w:w="7470" w:type="dxa"/>
            <w:vAlign w:val="center"/>
          </w:tcPr>
          <w:p w:rsidR="00647AF0" w:rsidRPr="0017567B" w:rsidRDefault="00BA3A5D" w:rsidP="00A66837">
            <w:pPr>
              <w:pStyle w:val="NormalWeb"/>
              <w:spacing w:before="120" w:beforeAutospacing="0" w:after="120" w:afterAutospacing="0"/>
              <w:rPr>
                <w:i/>
                <w:sz w:val="22"/>
                <w:szCs w:val="22"/>
              </w:rPr>
            </w:pPr>
            <w:r w:rsidRPr="00756414">
              <w:rPr>
                <w:sz w:val="22"/>
                <w:szCs w:val="22"/>
              </w:rPr>
              <w:t>Publicly available</w:t>
            </w:r>
          </w:p>
        </w:tc>
      </w:tr>
      <w:tr w:rsidR="00647AF0" w:rsidRPr="0017567B" w:rsidTr="00D36C65">
        <w:tc>
          <w:tcPr>
            <w:tcW w:w="2538" w:type="dxa"/>
          </w:tcPr>
          <w:p w:rsidR="00647AF0" w:rsidRPr="0017567B" w:rsidRDefault="00647AF0" w:rsidP="00971C4C">
            <w:pPr>
              <w:pStyle w:val="NormalWeb"/>
              <w:spacing w:before="120" w:beforeAutospacing="0" w:after="120" w:afterAutospacing="0"/>
              <w:rPr>
                <w:b/>
                <w:sz w:val="22"/>
                <w:szCs w:val="22"/>
              </w:rPr>
            </w:pPr>
            <w:r w:rsidRPr="0017567B">
              <w:rPr>
                <w:b/>
                <w:sz w:val="22"/>
                <w:szCs w:val="22"/>
              </w:rPr>
              <w:t xml:space="preserve">Geographic </w:t>
            </w:r>
            <w:r w:rsidR="003E320E">
              <w:rPr>
                <w:b/>
                <w:sz w:val="22"/>
                <w:szCs w:val="22"/>
              </w:rPr>
              <w:t>r</w:t>
            </w:r>
            <w:r w:rsidR="002C2CAD" w:rsidRPr="0017567B">
              <w:rPr>
                <w:b/>
                <w:sz w:val="22"/>
                <w:szCs w:val="22"/>
              </w:rPr>
              <w:t>egion</w:t>
            </w:r>
          </w:p>
        </w:tc>
        <w:tc>
          <w:tcPr>
            <w:tcW w:w="7470" w:type="dxa"/>
            <w:vAlign w:val="center"/>
          </w:tcPr>
          <w:p w:rsidR="00647AF0" w:rsidRPr="0030415D" w:rsidRDefault="00E57C41" w:rsidP="00031BCF">
            <w:pPr>
              <w:pStyle w:val="NormalWeb"/>
              <w:spacing w:before="120" w:beforeAutospacing="0" w:after="120" w:afterAutospacing="0"/>
              <w:jc w:val="both"/>
              <w:rPr>
                <w:sz w:val="22"/>
                <w:szCs w:val="22"/>
              </w:rPr>
            </w:pPr>
            <w:r w:rsidRPr="0030415D">
              <w:rPr>
                <w:sz w:val="22"/>
                <w:szCs w:val="22"/>
              </w:rPr>
              <w:t xml:space="preserve">Circumpolar </w:t>
            </w:r>
            <w:r w:rsidR="0030415D">
              <w:rPr>
                <w:sz w:val="22"/>
                <w:szCs w:val="22"/>
              </w:rPr>
              <w:t xml:space="preserve">Arctic, including regions in </w:t>
            </w:r>
            <w:r w:rsidR="007A5451">
              <w:rPr>
                <w:sz w:val="22"/>
                <w:szCs w:val="22"/>
              </w:rPr>
              <w:t>Alaska</w:t>
            </w:r>
            <w:r w:rsidR="0030415D">
              <w:rPr>
                <w:sz w:val="22"/>
                <w:szCs w:val="22"/>
              </w:rPr>
              <w:t>, Canada, Greenland, Finland and Russia</w:t>
            </w:r>
          </w:p>
        </w:tc>
      </w:tr>
      <w:tr w:rsidR="00647AF0" w:rsidRPr="0017567B" w:rsidTr="00D36C65">
        <w:tc>
          <w:tcPr>
            <w:tcW w:w="2538" w:type="dxa"/>
          </w:tcPr>
          <w:p w:rsidR="00647AF0" w:rsidRPr="0017567B" w:rsidRDefault="002C2CAD" w:rsidP="00971C4C">
            <w:pPr>
              <w:pStyle w:val="NormalWeb"/>
              <w:spacing w:before="120" w:beforeAutospacing="0" w:after="120" w:afterAutospacing="0"/>
              <w:rPr>
                <w:b/>
                <w:sz w:val="22"/>
                <w:szCs w:val="22"/>
              </w:rPr>
            </w:pPr>
            <w:r w:rsidRPr="0017567B">
              <w:rPr>
                <w:b/>
                <w:sz w:val="22"/>
                <w:szCs w:val="22"/>
              </w:rPr>
              <w:t xml:space="preserve">Geographic coverage </w:t>
            </w:r>
          </w:p>
        </w:tc>
        <w:tc>
          <w:tcPr>
            <w:tcW w:w="7470" w:type="dxa"/>
            <w:vAlign w:val="center"/>
          </w:tcPr>
          <w:p w:rsidR="00647AF0" w:rsidRPr="0017567B" w:rsidRDefault="0030415D" w:rsidP="00031BCF">
            <w:pPr>
              <w:pStyle w:val="NormalWeb"/>
              <w:spacing w:before="120" w:beforeAutospacing="0" w:after="120" w:afterAutospacing="0"/>
              <w:jc w:val="both"/>
              <w:rPr>
                <w:i/>
                <w:sz w:val="22"/>
                <w:szCs w:val="22"/>
              </w:rPr>
            </w:pPr>
            <w:r w:rsidRPr="0030415D">
              <w:rPr>
                <w:sz w:val="22"/>
                <w:szCs w:val="22"/>
              </w:rPr>
              <w:t xml:space="preserve">Circumpolar </w:t>
            </w:r>
            <w:r>
              <w:rPr>
                <w:sz w:val="22"/>
                <w:szCs w:val="22"/>
              </w:rPr>
              <w:t>arctic permafrost zone, from 149°36’W to 62°56’E (more details in Table S1)</w:t>
            </w:r>
          </w:p>
        </w:tc>
      </w:tr>
      <w:tr w:rsidR="002C2CAD" w:rsidRPr="0017567B" w:rsidTr="00D36C65">
        <w:tc>
          <w:tcPr>
            <w:tcW w:w="2538" w:type="dxa"/>
          </w:tcPr>
          <w:p w:rsidR="002C2CAD" w:rsidRPr="0017567B" w:rsidRDefault="00155789" w:rsidP="00971C4C">
            <w:pPr>
              <w:pStyle w:val="NormalWeb"/>
              <w:spacing w:before="120" w:beforeAutospacing="0" w:after="120" w:afterAutospacing="0"/>
              <w:rPr>
                <w:b/>
                <w:sz w:val="22"/>
                <w:szCs w:val="22"/>
              </w:rPr>
            </w:pPr>
            <w:r w:rsidRPr="0017567B">
              <w:rPr>
                <w:b/>
                <w:sz w:val="22"/>
                <w:szCs w:val="22"/>
              </w:rPr>
              <w:t xml:space="preserve">Temporal coverage - </w:t>
            </w:r>
            <w:r w:rsidR="002C2CAD" w:rsidRPr="0017567B">
              <w:rPr>
                <w:b/>
                <w:sz w:val="22"/>
                <w:szCs w:val="22"/>
              </w:rPr>
              <w:t>Begin date</w:t>
            </w:r>
          </w:p>
        </w:tc>
        <w:tc>
          <w:tcPr>
            <w:tcW w:w="7470" w:type="dxa"/>
            <w:vAlign w:val="center"/>
          </w:tcPr>
          <w:p w:rsidR="002C2CAD" w:rsidRPr="00BA3A5D" w:rsidRDefault="0030415D" w:rsidP="00031BCF">
            <w:pPr>
              <w:pStyle w:val="NormalWeb"/>
              <w:spacing w:before="120" w:beforeAutospacing="0" w:after="120" w:afterAutospacing="0"/>
              <w:rPr>
                <w:sz w:val="22"/>
                <w:szCs w:val="22"/>
              </w:rPr>
            </w:pPr>
            <w:r>
              <w:rPr>
                <w:sz w:val="22"/>
                <w:szCs w:val="22"/>
              </w:rPr>
              <w:t>Summer 2002</w:t>
            </w:r>
          </w:p>
        </w:tc>
      </w:tr>
      <w:tr w:rsidR="00D60162" w:rsidRPr="0017567B" w:rsidTr="00D36C65">
        <w:tc>
          <w:tcPr>
            <w:tcW w:w="2538" w:type="dxa"/>
          </w:tcPr>
          <w:p w:rsidR="00D60162" w:rsidRPr="0017567B" w:rsidRDefault="00D60162" w:rsidP="00971C4C">
            <w:pPr>
              <w:pStyle w:val="NormalWeb"/>
              <w:spacing w:before="120" w:beforeAutospacing="0" w:after="120" w:afterAutospacing="0"/>
              <w:rPr>
                <w:b/>
                <w:sz w:val="22"/>
                <w:szCs w:val="22"/>
              </w:rPr>
            </w:pPr>
            <w:r w:rsidRPr="0017567B">
              <w:rPr>
                <w:b/>
                <w:sz w:val="22"/>
                <w:szCs w:val="22"/>
              </w:rPr>
              <w:t>Temporal coverage - End date</w:t>
            </w:r>
          </w:p>
        </w:tc>
        <w:tc>
          <w:tcPr>
            <w:tcW w:w="7470" w:type="dxa"/>
            <w:vAlign w:val="center"/>
          </w:tcPr>
          <w:p w:rsidR="00D60162" w:rsidRPr="0030415D" w:rsidRDefault="0030415D" w:rsidP="00031BCF">
            <w:pPr>
              <w:pStyle w:val="NormalWeb"/>
              <w:spacing w:before="120" w:beforeAutospacing="0" w:after="120" w:afterAutospacing="0"/>
              <w:rPr>
                <w:sz w:val="22"/>
                <w:szCs w:val="22"/>
              </w:rPr>
            </w:pPr>
            <w:r w:rsidRPr="0030415D">
              <w:rPr>
                <w:sz w:val="22"/>
                <w:szCs w:val="22"/>
              </w:rPr>
              <w:t>Summer 2016</w:t>
            </w:r>
          </w:p>
        </w:tc>
      </w:tr>
      <w:tr w:rsidR="00D60162" w:rsidRPr="0017567B" w:rsidTr="00D36C65">
        <w:tc>
          <w:tcPr>
            <w:tcW w:w="2538" w:type="dxa"/>
          </w:tcPr>
          <w:p w:rsidR="00D60162" w:rsidRPr="0017567B" w:rsidRDefault="00D60162" w:rsidP="00971C4C">
            <w:pPr>
              <w:spacing w:before="120" w:after="120" w:line="240" w:lineRule="auto"/>
              <w:rPr>
                <w:rFonts w:ascii="Times New Roman" w:hAnsi="Times New Roman"/>
                <w:b/>
              </w:rPr>
            </w:pPr>
            <w:r w:rsidRPr="0017567B">
              <w:rPr>
                <w:rFonts w:ascii="Times New Roman" w:hAnsi="Times New Roman"/>
                <w:b/>
              </w:rPr>
              <w:t xml:space="preserve">General </w:t>
            </w:r>
            <w:r w:rsidR="003E320E">
              <w:rPr>
                <w:rFonts w:ascii="Times New Roman" w:hAnsi="Times New Roman"/>
                <w:b/>
              </w:rPr>
              <w:t>study d</w:t>
            </w:r>
            <w:r w:rsidRPr="0017567B">
              <w:rPr>
                <w:rFonts w:ascii="Times New Roman" w:hAnsi="Times New Roman"/>
                <w:b/>
              </w:rPr>
              <w:t>esign</w:t>
            </w:r>
          </w:p>
        </w:tc>
        <w:tc>
          <w:tcPr>
            <w:tcW w:w="7470" w:type="dxa"/>
            <w:vAlign w:val="center"/>
          </w:tcPr>
          <w:p w:rsidR="00B347EA" w:rsidRPr="00686F8C" w:rsidRDefault="00811AF8" w:rsidP="00D65A50">
            <w:pPr>
              <w:spacing w:before="120" w:after="120" w:line="240" w:lineRule="auto"/>
              <w:jc w:val="both"/>
            </w:pPr>
            <w:r w:rsidRPr="00686F8C">
              <w:rPr>
                <w:rFonts w:ascii="Times New Roman" w:hAnsi="Times New Roman"/>
                <w:szCs w:val="18"/>
              </w:rPr>
              <w:t xml:space="preserve">In this </w:t>
            </w:r>
            <w:r w:rsidR="00686F8C" w:rsidRPr="00686F8C">
              <w:rPr>
                <w:rFonts w:ascii="Times New Roman" w:hAnsi="Times New Roman"/>
                <w:szCs w:val="18"/>
              </w:rPr>
              <w:t>study</w:t>
            </w:r>
            <w:r w:rsidRPr="00686F8C">
              <w:rPr>
                <w:rFonts w:ascii="Times New Roman" w:hAnsi="Times New Roman"/>
                <w:szCs w:val="18"/>
              </w:rPr>
              <w:t>, we investigate</w:t>
            </w:r>
            <w:r w:rsidR="00686F8C" w:rsidRPr="00686F8C">
              <w:rPr>
                <w:rFonts w:ascii="Times New Roman" w:hAnsi="Times New Roman"/>
                <w:szCs w:val="18"/>
              </w:rPr>
              <w:t>d</w:t>
            </w:r>
            <w:r w:rsidRPr="00686F8C">
              <w:rPr>
                <w:rFonts w:ascii="Times New Roman" w:hAnsi="Times New Roman"/>
                <w:szCs w:val="18"/>
              </w:rPr>
              <w:t xml:space="preserve"> the </w:t>
            </w:r>
            <w:r w:rsidR="00D65A50">
              <w:rPr>
                <w:rFonts w:ascii="Times New Roman" w:hAnsi="Times New Roman"/>
                <w:szCs w:val="18"/>
              </w:rPr>
              <w:t>influence</w:t>
            </w:r>
            <w:r w:rsidRPr="00686F8C">
              <w:rPr>
                <w:rFonts w:ascii="Times New Roman" w:hAnsi="Times New Roman"/>
                <w:szCs w:val="18"/>
              </w:rPr>
              <w:t xml:space="preserve"> of permafrost thaw to the stocks and composition of dissolved organic material (DOM) </w:t>
            </w:r>
            <w:r w:rsidR="00686F8C">
              <w:rPr>
                <w:rFonts w:ascii="Times New Roman" w:hAnsi="Times New Roman"/>
                <w:szCs w:val="18"/>
              </w:rPr>
              <w:t xml:space="preserve">in circumpolar North freshwater systems, </w:t>
            </w:r>
            <w:r w:rsidRPr="00686F8C">
              <w:rPr>
                <w:rFonts w:ascii="Times New Roman" w:hAnsi="Times New Roman"/>
                <w:szCs w:val="18"/>
              </w:rPr>
              <w:t xml:space="preserve">using a suite of </w:t>
            </w:r>
            <w:r w:rsidR="00686F8C" w:rsidRPr="00686F8C">
              <w:rPr>
                <w:rFonts w:ascii="Times New Roman" w:hAnsi="Times New Roman"/>
                <w:szCs w:val="18"/>
              </w:rPr>
              <w:t>chemical (DOC</w:t>
            </w:r>
            <w:r w:rsidR="00310F03">
              <w:rPr>
                <w:rFonts w:ascii="Times New Roman" w:hAnsi="Times New Roman"/>
                <w:szCs w:val="18"/>
              </w:rPr>
              <w:t>, etc.</w:t>
            </w:r>
            <w:r w:rsidR="00686F8C" w:rsidRPr="00686F8C">
              <w:rPr>
                <w:rFonts w:ascii="Times New Roman" w:hAnsi="Times New Roman"/>
                <w:szCs w:val="18"/>
              </w:rPr>
              <w:t>), biological (chl</w:t>
            </w:r>
            <w:r w:rsidR="004F0AF9">
              <w:rPr>
                <w:rFonts w:ascii="Times New Roman" w:hAnsi="Times New Roman"/>
                <w:szCs w:val="18"/>
              </w:rPr>
              <w:t xml:space="preserve">orophyll </w:t>
            </w:r>
            <w:r w:rsidRPr="004F0AF9">
              <w:rPr>
                <w:rFonts w:ascii="Times New Roman" w:hAnsi="Times New Roman"/>
                <w:i/>
                <w:szCs w:val="18"/>
              </w:rPr>
              <w:t>a</w:t>
            </w:r>
            <w:r w:rsidRPr="00686F8C">
              <w:rPr>
                <w:rFonts w:ascii="Times New Roman" w:hAnsi="Times New Roman"/>
                <w:szCs w:val="18"/>
              </w:rPr>
              <w:t>), optical (</w:t>
            </w:r>
            <w:r w:rsidR="00686F8C" w:rsidRPr="00686F8C">
              <w:rPr>
                <w:rFonts w:ascii="Times New Roman" w:hAnsi="Times New Roman"/>
                <w:szCs w:val="18"/>
              </w:rPr>
              <w:t>spectrophotometric indexes,</w:t>
            </w:r>
            <w:r w:rsidRPr="00686F8C">
              <w:rPr>
                <w:rFonts w:ascii="Times New Roman" w:hAnsi="Times New Roman"/>
                <w:szCs w:val="18"/>
              </w:rPr>
              <w:t xml:space="preserve"> EEMs, </w:t>
            </w:r>
            <w:r w:rsidR="00686F8C" w:rsidRPr="00686F8C">
              <w:rPr>
                <w:rFonts w:ascii="Times New Roman" w:hAnsi="Times New Roman"/>
                <w:szCs w:val="18"/>
              </w:rPr>
              <w:t>PARAFAC</w:t>
            </w:r>
            <w:r w:rsidRPr="00686F8C">
              <w:rPr>
                <w:rFonts w:ascii="Times New Roman" w:hAnsi="Times New Roman"/>
                <w:szCs w:val="18"/>
              </w:rPr>
              <w:t>) and stable isotopic (d13C and d2H) indicators.</w:t>
            </w:r>
            <w:r w:rsidRPr="00686F8C">
              <w:rPr>
                <w:sz w:val="24"/>
              </w:rPr>
              <w:t xml:space="preserve"> </w:t>
            </w:r>
          </w:p>
        </w:tc>
      </w:tr>
      <w:tr w:rsidR="00D60162" w:rsidRPr="0017567B" w:rsidTr="003E320E">
        <w:tc>
          <w:tcPr>
            <w:tcW w:w="2538" w:type="dxa"/>
          </w:tcPr>
          <w:p w:rsidR="00D60162" w:rsidRPr="0017567B" w:rsidRDefault="00D60162" w:rsidP="00971C4C">
            <w:pPr>
              <w:spacing w:before="120" w:after="120" w:line="240" w:lineRule="auto"/>
              <w:rPr>
                <w:rFonts w:ascii="Times New Roman" w:hAnsi="Times New Roman"/>
              </w:rPr>
            </w:pPr>
            <w:r w:rsidRPr="0017567B">
              <w:rPr>
                <w:rFonts w:ascii="Times New Roman" w:hAnsi="Times New Roman"/>
                <w:b/>
              </w:rPr>
              <w:t xml:space="preserve">Methods </w:t>
            </w:r>
            <w:r w:rsidR="003E320E">
              <w:rPr>
                <w:rFonts w:ascii="Times New Roman" w:hAnsi="Times New Roman"/>
                <w:b/>
              </w:rPr>
              <w:t>d</w:t>
            </w:r>
            <w:r w:rsidRPr="0017567B">
              <w:rPr>
                <w:rFonts w:ascii="Times New Roman" w:hAnsi="Times New Roman"/>
                <w:b/>
              </w:rPr>
              <w:t>escription</w:t>
            </w:r>
          </w:p>
        </w:tc>
        <w:tc>
          <w:tcPr>
            <w:tcW w:w="7470" w:type="dxa"/>
          </w:tcPr>
          <w:p w:rsidR="00310F03" w:rsidRPr="00771B95" w:rsidRDefault="00335C11" w:rsidP="00771B95">
            <w:pPr>
              <w:spacing w:before="120" w:after="120" w:line="240" w:lineRule="auto"/>
              <w:jc w:val="both"/>
              <w:rPr>
                <w:rFonts w:ascii="Times New Roman" w:hAnsi="Times New Roman"/>
                <w:lang w:val="en-CA" w:eastAsia="fr-CA"/>
              </w:rPr>
            </w:pPr>
            <w:r>
              <w:rPr>
                <w:rFonts w:ascii="Times New Roman" w:hAnsi="Times New Roman"/>
                <w:lang w:val="en-CA" w:eastAsia="fr-CA"/>
              </w:rPr>
              <w:t>During</w:t>
            </w:r>
            <w:r w:rsidR="006D7B11" w:rsidRPr="00771B95">
              <w:rPr>
                <w:rFonts w:ascii="Times New Roman" w:hAnsi="Times New Roman"/>
                <w:lang w:val="en-CA" w:eastAsia="fr-CA"/>
              </w:rPr>
              <w:t xml:space="preserve"> the summer periods from 2002 to 2016, we </w:t>
            </w:r>
            <w:r w:rsidR="00811AF8" w:rsidRPr="00771B95">
              <w:rPr>
                <w:rFonts w:ascii="Times New Roman" w:hAnsi="Times New Roman"/>
                <w:lang w:val="en-CA" w:eastAsia="fr-CA"/>
              </w:rPr>
              <w:t>sampled a total of 253 ponds distributed in 14 circumpolar regions</w:t>
            </w:r>
            <w:r w:rsidR="00783BC1" w:rsidRPr="00771B95">
              <w:rPr>
                <w:rFonts w:ascii="Times New Roman" w:hAnsi="Times New Roman"/>
                <w:lang w:val="en-CA" w:eastAsia="fr-CA"/>
              </w:rPr>
              <w:fldChar w:fldCharType="begin"/>
            </w:r>
            <w:r w:rsidR="00A27683">
              <w:rPr>
                <w:rFonts w:ascii="Times New Roman" w:hAnsi="Times New Roman"/>
                <w:lang w:val="en-CA" w:eastAsia="fr-CA"/>
              </w:rPr>
              <w:instrText xml:space="preserve"> ADDIN EN.CITE &lt;EndNote&gt;&lt;Cite Hidden="1"&gt;&lt;Author&gt;Brown&lt;/Author&gt;&lt;Year&gt;1998&lt;/Year&gt;&lt;RecNum&gt;733&lt;/RecNum&gt;&lt;record&gt;&lt;rec-number&gt;733&lt;/rec-number&gt;&lt;foreign-keys&gt;&lt;key app="EN" db-id="spap5xdperdt93e5evapza9wrdsdz9speffv" timestamp="1495128396"&gt;733&lt;/key&gt;&lt;/foreign-keys&gt;&lt;ref-type name="Map"&gt;20&lt;/ref-type&gt;&lt;contributors&gt;&lt;authors&gt;&lt;author&gt;Brown, J.&lt;/author&gt;&lt;author&gt;Ferrians, O. J.&lt;/author&gt;&lt;author&gt;Heginbottom, J. A.&lt;/author&gt;&lt;author&gt;Melnikov, E. S.&lt;/author&gt;&lt;/authors&gt;&lt;/contributors&gt;&lt;titles&gt;&lt;title&gt;Circum-Arctic map of permafrost and ground-ice conditions&lt;/title&gt;&lt;/titles&gt;&lt;dates&gt;&lt;year&gt;1998&lt;/year&gt;&lt;/dates&gt;&lt;pub-location&gt;Boulder, Colorado&lt;/pub-location&gt;&lt;publisher&gt;National Snow and Ice Data Center/World Data Center for Glaciology&lt;/publisher&gt;&lt;urls&gt;&lt;/urls&gt;&lt;/record&gt;&lt;/Cite&gt;&lt;/EndNote&gt;</w:instrText>
            </w:r>
            <w:r w:rsidR="00783BC1" w:rsidRPr="00771B95">
              <w:rPr>
                <w:rFonts w:ascii="Times New Roman" w:hAnsi="Times New Roman"/>
                <w:lang w:val="en-CA" w:eastAsia="fr-CA"/>
              </w:rPr>
              <w:fldChar w:fldCharType="end"/>
            </w:r>
            <w:r w:rsidR="00811AF8" w:rsidRPr="00771B95">
              <w:rPr>
                <w:rFonts w:ascii="Times New Roman" w:hAnsi="Times New Roman"/>
                <w:lang w:val="en-CA" w:eastAsia="fr-CA"/>
              </w:rPr>
              <w:t xml:space="preserve">, for a total of 356 samples, a fraction of ponds being sampled more than one time during these 15 years. The regions span over a very wide geographic area, covering </w:t>
            </w:r>
            <w:r w:rsidR="00811AF8" w:rsidRPr="00771B95">
              <w:rPr>
                <w:rFonts w:ascii="Times New Roman" w:hAnsi="Times New Roman"/>
                <w:color w:val="222222"/>
                <w:shd w:val="clear" w:color="auto" w:fill="FFFFFF"/>
              </w:rPr>
              <w:t>~</w:t>
            </w:r>
            <w:r w:rsidR="00811AF8" w:rsidRPr="00771B95">
              <w:rPr>
                <w:rFonts w:ascii="Times New Roman" w:hAnsi="Times New Roman"/>
                <w:lang w:val="en-CA" w:eastAsia="fr-CA"/>
              </w:rPr>
              <w:t xml:space="preserve">200° in longitude (from Alaska to Russia) and </w:t>
            </w:r>
            <w:r w:rsidR="00811AF8" w:rsidRPr="00771B95">
              <w:rPr>
                <w:rFonts w:ascii="Times New Roman" w:hAnsi="Times New Roman"/>
                <w:color w:val="222222"/>
                <w:shd w:val="clear" w:color="auto" w:fill="FFFFFF"/>
              </w:rPr>
              <w:t>~</w:t>
            </w:r>
            <w:r w:rsidR="00811AF8" w:rsidRPr="00771B95">
              <w:rPr>
                <w:rFonts w:ascii="Times New Roman" w:hAnsi="Times New Roman"/>
                <w:lang w:val="en-CA" w:eastAsia="fr-CA"/>
              </w:rPr>
              <w:t xml:space="preserve">30° in latitude (from Subarctic to High Arctic), and resulting in a large range </w:t>
            </w:r>
            <w:r w:rsidR="00310F03" w:rsidRPr="00771B95">
              <w:rPr>
                <w:rFonts w:ascii="Times New Roman" w:hAnsi="Times New Roman"/>
                <w:lang w:val="en-CA" w:eastAsia="fr-CA"/>
              </w:rPr>
              <w:t xml:space="preserve">of </w:t>
            </w:r>
            <w:r w:rsidR="00DF01C5">
              <w:rPr>
                <w:rFonts w:ascii="Times New Roman" w:hAnsi="Times New Roman"/>
                <w:lang w:val="en-CA" w:eastAsia="fr-CA"/>
              </w:rPr>
              <w:t xml:space="preserve">thawing </w:t>
            </w:r>
            <w:r w:rsidR="00310F03" w:rsidRPr="00771B95">
              <w:rPr>
                <w:rFonts w:ascii="Times New Roman" w:hAnsi="Times New Roman"/>
                <w:lang w:val="en-CA" w:eastAsia="fr-CA"/>
              </w:rPr>
              <w:t>permafrost</w:t>
            </w:r>
            <w:r w:rsidR="00DF01C5">
              <w:rPr>
                <w:rFonts w:ascii="Times New Roman" w:hAnsi="Times New Roman"/>
                <w:lang w:val="en-CA" w:eastAsia="fr-CA"/>
              </w:rPr>
              <w:t xml:space="preserve"> influence</w:t>
            </w:r>
            <w:r w:rsidR="00310F03" w:rsidRPr="00771B95">
              <w:rPr>
                <w:rFonts w:ascii="Times New Roman" w:hAnsi="Times New Roman"/>
                <w:lang w:val="en-CA" w:eastAsia="fr-CA"/>
              </w:rPr>
              <w:t>.</w:t>
            </w:r>
          </w:p>
          <w:p w:rsidR="00686F8C" w:rsidRPr="00771B95" w:rsidRDefault="00686F8C" w:rsidP="00771B95">
            <w:pPr>
              <w:spacing w:before="120" w:after="120" w:line="240" w:lineRule="auto"/>
              <w:jc w:val="both"/>
              <w:rPr>
                <w:rFonts w:ascii="Times New Roman" w:hAnsi="Times New Roman"/>
                <w:lang w:val="en-CA" w:eastAsia="fr-CA"/>
              </w:rPr>
            </w:pPr>
            <w:r w:rsidRPr="00771B95">
              <w:rPr>
                <w:rFonts w:ascii="Times New Roman" w:hAnsi="Times New Roman"/>
                <w:lang w:val="en-CA" w:eastAsia="fr-CA"/>
              </w:rPr>
              <w:t>We divided the ponds into three categories according to their exposure to permafrost thaw: (1) bedrock ponds, characterized by a bedrock catchment and not directly affected by thawing permafrost; (2) tundra, not impacted by permafrost thaw, but characterized by forest, shrub or desert tundra watersheds, depending o</w:t>
            </w:r>
            <w:r w:rsidR="00224EBE">
              <w:rPr>
                <w:rFonts w:ascii="Times New Roman" w:hAnsi="Times New Roman"/>
                <w:lang w:val="en-CA" w:eastAsia="fr-CA"/>
              </w:rPr>
              <w:t>n</w:t>
            </w:r>
            <w:r w:rsidRPr="00771B95">
              <w:rPr>
                <w:rFonts w:ascii="Times New Roman" w:hAnsi="Times New Roman"/>
                <w:lang w:val="en-CA" w:eastAsia="fr-CA"/>
              </w:rPr>
              <w:t xml:space="preserve"> the region; and (3) thaw ponds, directly affected by thawing permafrost.</w:t>
            </w:r>
          </w:p>
          <w:p w:rsidR="00903AAA" w:rsidRPr="00771B95" w:rsidRDefault="00C45CF2" w:rsidP="00771B95">
            <w:pPr>
              <w:spacing w:before="120" w:after="120" w:line="240" w:lineRule="auto"/>
              <w:jc w:val="both"/>
              <w:rPr>
                <w:rFonts w:ascii="Times New Roman" w:hAnsi="Times New Roman"/>
                <w:lang w:val="en-CA" w:eastAsia="fr-CA"/>
              </w:rPr>
            </w:pPr>
            <w:r>
              <w:rPr>
                <w:rFonts w:ascii="Times New Roman" w:hAnsi="Times New Roman"/>
                <w:lang w:val="en-CA" w:eastAsia="fr-CA"/>
              </w:rPr>
              <w:t>In order to investigate the impact of thawing permafrost on DOM pool, we used chemical, biological, optical and stable isotopic indicators. The different s</w:t>
            </w:r>
            <w:r w:rsidR="00903AAA" w:rsidRPr="00771B95">
              <w:rPr>
                <w:rFonts w:ascii="Times New Roman" w:hAnsi="Times New Roman"/>
                <w:lang w:val="en-CA" w:eastAsia="fr-CA"/>
              </w:rPr>
              <w:t xml:space="preserve">ampling methods and </w:t>
            </w:r>
            <w:r w:rsidR="00771B95" w:rsidRPr="00771B95">
              <w:rPr>
                <w:rFonts w:ascii="Times New Roman" w:hAnsi="Times New Roman"/>
                <w:lang w:val="en-CA" w:eastAsia="fr-CA"/>
              </w:rPr>
              <w:t xml:space="preserve">laboratory </w:t>
            </w:r>
            <w:r w:rsidR="00903AAA" w:rsidRPr="00771B95">
              <w:rPr>
                <w:rFonts w:ascii="Times New Roman" w:hAnsi="Times New Roman"/>
                <w:lang w:val="en-CA" w:eastAsia="fr-CA"/>
              </w:rPr>
              <w:t xml:space="preserve">analyses are described </w:t>
            </w:r>
            <w:r w:rsidR="00771B95" w:rsidRPr="00771B95">
              <w:rPr>
                <w:rFonts w:ascii="Times New Roman" w:hAnsi="Times New Roman"/>
                <w:lang w:val="en-CA" w:eastAsia="fr-CA"/>
              </w:rPr>
              <w:t>in the next row</w:t>
            </w:r>
            <w:r w:rsidR="00903AAA" w:rsidRPr="00771B95">
              <w:rPr>
                <w:rFonts w:ascii="Times New Roman" w:hAnsi="Times New Roman"/>
                <w:lang w:val="en-CA" w:eastAsia="fr-CA"/>
              </w:rPr>
              <w:t xml:space="preserve"> for</w:t>
            </w:r>
            <w:r w:rsidR="005875B4" w:rsidRPr="00771B95">
              <w:rPr>
                <w:rFonts w:ascii="Times New Roman" w:hAnsi="Times New Roman"/>
                <w:lang w:val="en-CA" w:eastAsia="fr-CA"/>
              </w:rPr>
              <w:t xml:space="preserve"> each dataset and</w:t>
            </w:r>
            <w:r w:rsidR="00903AAA" w:rsidRPr="00771B95">
              <w:rPr>
                <w:rFonts w:ascii="Times New Roman" w:hAnsi="Times New Roman"/>
                <w:lang w:val="en-CA" w:eastAsia="fr-CA"/>
              </w:rPr>
              <w:t xml:space="preserve"> each variable.</w:t>
            </w:r>
          </w:p>
          <w:p w:rsidR="00903AAA" w:rsidRPr="00771B95" w:rsidRDefault="00771B95" w:rsidP="00771B95">
            <w:pPr>
              <w:spacing w:before="120" w:after="120" w:line="240" w:lineRule="auto"/>
              <w:jc w:val="both"/>
              <w:rPr>
                <w:rFonts w:ascii="Times New Roman" w:hAnsi="Times New Roman"/>
              </w:rPr>
            </w:pPr>
            <w:r w:rsidRPr="00771B95">
              <w:rPr>
                <w:rFonts w:ascii="Times New Roman" w:hAnsi="Times New Roman"/>
              </w:rPr>
              <w:t xml:space="preserve">To determine how the chemical, biological and optical properties were individually influenced by permafrost thaw, we performed Kruskal-Wallis by rank tests. Pair-wise comparisons were applied using a post hoc test (Bonferroni). </w:t>
            </w:r>
            <w:r w:rsidRPr="00771B95">
              <w:rPr>
                <w:rFonts w:ascii="Times New Roman" w:hAnsi="Times New Roman"/>
                <w:lang w:val="en-CA" w:eastAsia="fr-CA"/>
              </w:rPr>
              <w:t>We carried out PCAs and</w:t>
            </w:r>
            <w:r w:rsidRPr="00771B95">
              <w:rPr>
                <w:rFonts w:ascii="Times New Roman" w:hAnsi="Times New Roman"/>
              </w:rPr>
              <w:t xml:space="preserve"> </w:t>
            </w:r>
            <w:r w:rsidRPr="00771B95">
              <w:rPr>
                <w:rFonts w:ascii="Times New Roman" w:hAnsi="Times New Roman"/>
                <w:lang w:val="en-CA" w:eastAsia="fr-CA"/>
              </w:rPr>
              <w:t>PERMANOVAs on log</w:t>
            </w:r>
            <w:r w:rsidRPr="00771B95">
              <w:rPr>
                <w:rFonts w:ascii="Times New Roman" w:hAnsi="Times New Roman"/>
                <w:vertAlign w:val="subscript"/>
                <w:lang w:val="en-CA" w:eastAsia="fr-CA"/>
              </w:rPr>
              <w:t>10</w:t>
            </w:r>
            <w:r w:rsidRPr="00771B95">
              <w:rPr>
                <w:rFonts w:ascii="Times New Roman" w:hAnsi="Times New Roman"/>
                <w:lang w:val="en-CA" w:eastAsia="fr-CA"/>
              </w:rPr>
              <w:t xml:space="preserve">(x+1)-transformed data to illustrate and test the influence of pond type on optical properties. The data were centered and </w:t>
            </w:r>
            <w:r w:rsidRPr="00771B95">
              <w:rPr>
                <w:rFonts w:ascii="Times New Roman" w:hAnsi="Times New Roman"/>
              </w:rPr>
              <w:t>standardized before applying the PCAs. Regarding the PERMANOVAs, w</w:t>
            </w:r>
            <w:r w:rsidRPr="00771B95">
              <w:rPr>
                <w:rFonts w:ascii="Times New Roman" w:hAnsi="Times New Roman"/>
                <w:lang w:val="en-CA" w:eastAsia="fr-CA"/>
              </w:rPr>
              <w:t>e</w:t>
            </w:r>
            <w:r w:rsidRPr="00771B95">
              <w:rPr>
                <w:rFonts w:ascii="Times New Roman" w:hAnsi="Times New Roman"/>
              </w:rPr>
              <w:t xml:space="preserve"> used</w:t>
            </w:r>
            <w:r w:rsidRPr="00771B95">
              <w:rPr>
                <w:rFonts w:ascii="Times New Roman" w:hAnsi="Times New Roman"/>
                <w:lang w:val="en-CA" w:eastAsia="fr-CA"/>
              </w:rPr>
              <w:t xml:space="preserve"> </w:t>
            </w:r>
            <w:r w:rsidRPr="00771B95">
              <w:rPr>
                <w:rFonts w:ascii="Times New Roman" w:hAnsi="Times New Roman"/>
              </w:rPr>
              <w:t xml:space="preserve">Euclidean distance as dissimilarity index, and the number of permutations was fixed at 999. Pair-wise comparisons were performed using Bonferroni correction to identify differences among the types of ponds. The multivariate homogeneity of group dispersions was verified by performing a </w:t>
            </w:r>
            <w:r w:rsidRPr="00771B95">
              <w:rPr>
                <w:rFonts w:ascii="Times New Roman" w:hAnsi="Times New Roman"/>
              </w:rPr>
              <w:lastRenderedPageBreak/>
              <w:t>PERMDISP. All statistical analyses were performed on R v 3.3.2.</w:t>
            </w:r>
          </w:p>
          <w:p w:rsidR="00310F03" w:rsidRPr="00310F03" w:rsidRDefault="00771B95" w:rsidP="00C45CF2">
            <w:pPr>
              <w:spacing w:before="120" w:after="120" w:line="240" w:lineRule="auto"/>
              <w:jc w:val="both"/>
              <w:rPr>
                <w:rFonts w:cstheme="minorHAnsi"/>
                <w:lang w:eastAsia="fr-CA"/>
              </w:rPr>
            </w:pPr>
            <w:r w:rsidRPr="00771B95">
              <w:rPr>
                <w:rFonts w:ascii="Times New Roman" w:hAnsi="Times New Roman"/>
              </w:rPr>
              <w:t>Regarding the</w:t>
            </w:r>
            <w:r w:rsidR="00C45CF2">
              <w:rPr>
                <w:rFonts w:ascii="Times New Roman" w:hAnsi="Times New Roman"/>
              </w:rPr>
              <w:t xml:space="preserve"> stable isotopes, we performed </w:t>
            </w:r>
            <w:r w:rsidR="00C45CF2" w:rsidRPr="00771B95">
              <w:rPr>
                <w:rFonts w:ascii="Times New Roman" w:hAnsi="Times New Roman"/>
                <w:lang w:val="en-CA" w:eastAsia="fr-CA"/>
              </w:rPr>
              <w:t xml:space="preserve">a dual Bayesian mixing model adapted from </w:t>
            </w:r>
            <w:r w:rsidR="00783BC1" w:rsidRPr="00771B95">
              <w:rPr>
                <w:rFonts w:ascii="Times New Roman" w:hAnsi="Times New Roman"/>
                <w:lang w:val="en-CA" w:eastAsia="fr-CA"/>
              </w:rPr>
              <w:fldChar w:fldCharType="begin"/>
            </w:r>
            <w:r w:rsidR="00C45CF2" w:rsidRPr="00771B95">
              <w:rPr>
                <w:rFonts w:ascii="Times New Roman" w:hAnsi="Times New Roman"/>
                <w:lang w:val="en-CA" w:eastAsia="fr-CA"/>
              </w:rPr>
              <w:instrText xml:space="preserve"> ADDIN EN.CITE &lt;EndNote&gt;&lt;Cite AuthorYear="1"&gt;&lt;Author&gt;Wilkinson&lt;/Author&gt;&lt;Year&gt;2014&lt;/Year&gt;&lt;RecNum&gt;568&lt;/RecNum&gt;&lt;DisplayText&gt;Wilkinson et al. (2014)&lt;/DisplayText&gt;&lt;record&gt;&lt;rec-number&gt;568&lt;/rec-number&gt;&lt;foreign-keys&gt;&lt;key app="EN" db-id="spap5xdperdt93e5evapza9wrdsdz9speffv" timestamp="1467760001"&gt;568&lt;/key&gt;&lt;/foreign-keys&gt;&lt;ref-type name="Journal Article"&gt;17&lt;/ref-type&gt;&lt;contributors&gt;&lt;authors&gt;&lt;author&gt;Wilkinson, Grace M.&lt;/author&gt;&lt;author&gt;Carpenter, Stephen R.&lt;/author&gt;&lt;author&gt;Cole, Jonathan J.&lt;/author&gt;&lt;author&gt;Pace, Michael L.&lt;/author&gt;&lt;/authors&gt;&lt;/contributors&gt;&lt;titles&gt;&lt;title&gt;&lt;style face="normal" font="default" size="100%"&gt;Use of deep autochthonous resources by zooplankton: Results of a metalimnetic addition of &lt;/style&gt;&lt;style face="superscript" font="default" size="100%"&gt;13&lt;/style&gt;&lt;style face="normal" font="default" size="100%"&gt;C to a small lake&lt;/style&gt;&lt;/title&gt;&lt;secondary-title&gt;Limnology and Oceanography&lt;/secondary-title&gt;&lt;/titles&gt;&lt;periodical&gt;&lt;full-title&gt;Limnology and Oceanography&lt;/full-title&gt;&lt;/periodical&gt;&lt;pages&gt;986-996&lt;/pages&gt;&lt;volume&gt;59&lt;/volume&gt;&lt;number&gt;3&lt;/number&gt;&lt;dates&gt;&lt;year&gt;2014&lt;/year&gt;&lt;/dates&gt;&lt;isbn&gt;1939-5590&lt;/isbn&gt;&lt;urls&gt;&lt;related-urls&gt;&lt;url&gt;http://dx.doi.org/10.4319/lo.2014.59.3.0986&lt;/url&gt;&lt;url&gt;http://onlinelibrary.wiley.com/store/10.4319/lo.2014.59.3.0986/asset/lno20145930986.pdf?v=1&amp;amp;t=iqa2fnft&amp;amp;s=2829abff97df0aea1ac862b0963e879079f3aff1&lt;/url&gt;&lt;/related-urls&gt;&lt;/urls&gt;&lt;electronic-resource-num&gt;10.4319/lo.2014.59.3.0986&lt;/electronic-resource-num&gt;&lt;/record&gt;&lt;/Cite&gt;&lt;/EndNote&gt;</w:instrText>
            </w:r>
            <w:r w:rsidR="00783BC1" w:rsidRPr="00771B95">
              <w:rPr>
                <w:rFonts w:ascii="Times New Roman" w:hAnsi="Times New Roman"/>
                <w:lang w:val="en-CA" w:eastAsia="fr-CA"/>
              </w:rPr>
              <w:fldChar w:fldCharType="separate"/>
            </w:r>
            <w:r w:rsidR="00C45CF2" w:rsidRPr="00771B95">
              <w:rPr>
                <w:rFonts w:ascii="Times New Roman" w:hAnsi="Times New Roman"/>
                <w:noProof/>
                <w:lang w:val="en-CA" w:eastAsia="fr-CA"/>
              </w:rPr>
              <w:t>Wilkinson et al. (2014)</w:t>
            </w:r>
            <w:r w:rsidR="00783BC1" w:rsidRPr="00771B95">
              <w:rPr>
                <w:rFonts w:ascii="Times New Roman" w:hAnsi="Times New Roman"/>
                <w:lang w:val="en-CA" w:eastAsia="fr-CA"/>
              </w:rPr>
              <w:fldChar w:fldCharType="end"/>
            </w:r>
            <w:r w:rsidR="00C45CF2" w:rsidRPr="00771B95">
              <w:rPr>
                <w:rFonts w:ascii="Times New Roman" w:hAnsi="Times New Roman"/>
                <w:lang w:val="en-CA" w:eastAsia="fr-CA"/>
              </w:rPr>
              <w:t xml:space="preserve">, using </w:t>
            </w:r>
            <w:r w:rsidR="005E7860">
              <w:rPr>
                <w:rFonts w:ascii="Times New Roman" w:hAnsi="Times New Roman"/>
              </w:rPr>
              <w:t>d</w:t>
            </w:r>
            <w:r w:rsidR="005E7860" w:rsidRPr="00551551">
              <w:rPr>
                <w:rFonts w:ascii="Times New Roman" w:hAnsi="Times New Roman"/>
              </w:rPr>
              <w:t>13</w:t>
            </w:r>
            <w:r w:rsidR="005E7860" w:rsidRPr="00031BCF">
              <w:rPr>
                <w:rFonts w:ascii="Times New Roman" w:hAnsi="Times New Roman"/>
              </w:rPr>
              <w:t>C</w:t>
            </w:r>
            <w:r w:rsidR="00C45CF2" w:rsidRPr="00771B95">
              <w:rPr>
                <w:rFonts w:ascii="Times New Roman" w:hAnsi="Times New Roman"/>
              </w:rPr>
              <w:t xml:space="preserve"> and </w:t>
            </w:r>
            <w:r w:rsidR="005E7860">
              <w:rPr>
                <w:rFonts w:ascii="Times New Roman" w:hAnsi="Times New Roman"/>
              </w:rPr>
              <w:t>d2</w:t>
            </w:r>
            <w:r w:rsidR="005E7860" w:rsidRPr="00031BCF">
              <w:rPr>
                <w:rFonts w:ascii="Times New Roman" w:hAnsi="Times New Roman"/>
              </w:rPr>
              <w:t>H</w:t>
            </w:r>
            <w:r w:rsidR="00CD3A1E">
              <w:rPr>
                <w:rFonts w:ascii="Times New Roman" w:hAnsi="Times New Roman"/>
              </w:rPr>
              <w:t xml:space="preserve"> as end-</w:t>
            </w:r>
            <w:r w:rsidR="00C45CF2" w:rsidRPr="00771B95">
              <w:rPr>
                <w:rFonts w:ascii="Times New Roman" w:hAnsi="Times New Roman"/>
              </w:rPr>
              <w:t>members</w:t>
            </w:r>
            <w:r w:rsidR="00C45CF2">
              <w:rPr>
                <w:rFonts w:ascii="Times New Roman" w:hAnsi="Times New Roman"/>
              </w:rPr>
              <w:t>.</w:t>
            </w:r>
            <w:r w:rsidRPr="00771B95">
              <w:rPr>
                <w:rFonts w:ascii="Times New Roman" w:hAnsi="Times New Roman"/>
              </w:rPr>
              <w:t xml:space="preserve"> </w:t>
            </w:r>
            <w:r w:rsidRPr="00771B95">
              <w:rPr>
                <w:rFonts w:ascii="Times New Roman" w:hAnsi="Times New Roman"/>
                <w:lang w:val="en-CA" w:eastAsia="fr-CA"/>
              </w:rPr>
              <w:t xml:space="preserve">We considered three potential sources contributing to DOM in each pond type: soils, phytoplankton, and benthic bulk for bedrock and tundra ponds, or soils, phytoplankton, and macrophytes for thaw ponds. </w:t>
            </w:r>
            <w:r w:rsidRPr="00771B95">
              <w:rPr>
                <w:rFonts w:ascii="Times New Roman" w:hAnsi="Times New Roman"/>
              </w:rPr>
              <w:t>The model was run in R v 3.3.2.</w:t>
            </w:r>
          </w:p>
        </w:tc>
      </w:tr>
      <w:tr w:rsidR="00D60162" w:rsidRPr="00D36C65" w:rsidTr="0073389D">
        <w:tc>
          <w:tcPr>
            <w:tcW w:w="2538" w:type="dxa"/>
          </w:tcPr>
          <w:p w:rsidR="00D60162" w:rsidRPr="0017567B" w:rsidRDefault="00F13A69" w:rsidP="00971C4C">
            <w:pPr>
              <w:spacing w:before="120" w:after="120" w:line="240" w:lineRule="auto"/>
              <w:rPr>
                <w:rFonts w:ascii="Times New Roman" w:hAnsi="Times New Roman"/>
                <w:b/>
              </w:rPr>
            </w:pPr>
            <w:r>
              <w:rPr>
                <w:rFonts w:ascii="Times New Roman" w:hAnsi="Times New Roman"/>
                <w:b/>
              </w:rPr>
              <w:lastRenderedPageBreak/>
              <w:t xml:space="preserve">Laboratory, field, or other </w:t>
            </w:r>
            <w:r w:rsidR="00CE0690">
              <w:rPr>
                <w:rFonts w:ascii="Times New Roman" w:hAnsi="Times New Roman"/>
                <w:b/>
              </w:rPr>
              <w:t>analytical methods</w:t>
            </w:r>
          </w:p>
        </w:tc>
        <w:tc>
          <w:tcPr>
            <w:tcW w:w="7470" w:type="dxa"/>
          </w:tcPr>
          <w:p w:rsidR="00310F03" w:rsidRPr="00903AAA" w:rsidRDefault="00310F03" w:rsidP="005875B4">
            <w:pPr>
              <w:widowControl w:val="0"/>
              <w:spacing w:before="240" w:after="120" w:line="240" w:lineRule="auto"/>
              <w:rPr>
                <w:rFonts w:ascii="Times New Roman" w:hAnsi="Times New Roman"/>
                <w:b/>
                <w:sz w:val="24"/>
              </w:rPr>
            </w:pPr>
            <w:r w:rsidRPr="00903AAA">
              <w:rPr>
                <w:rFonts w:ascii="Times New Roman" w:hAnsi="Times New Roman"/>
                <w:b/>
                <w:sz w:val="24"/>
              </w:rPr>
              <w:t>CDOM_Database.</w:t>
            </w:r>
            <w:r w:rsidR="005A45DB">
              <w:rPr>
                <w:rFonts w:ascii="Times New Roman" w:hAnsi="Times New Roman"/>
                <w:b/>
                <w:sz w:val="24"/>
              </w:rPr>
              <w:t>csv</w:t>
            </w:r>
          </w:p>
          <w:p w:rsidR="00903AAA" w:rsidRPr="00903AAA" w:rsidRDefault="00903AAA" w:rsidP="00E4456A">
            <w:pPr>
              <w:widowControl w:val="0"/>
              <w:spacing w:before="240" w:after="120" w:line="240" w:lineRule="auto"/>
              <w:rPr>
                <w:rFonts w:ascii="Times New Roman" w:hAnsi="Times New Roman"/>
                <w:b/>
                <w:i/>
              </w:rPr>
            </w:pPr>
            <w:r w:rsidRPr="00903AAA">
              <w:rPr>
                <w:rFonts w:ascii="Times New Roman" w:hAnsi="Times New Roman"/>
                <w:b/>
                <w:i/>
              </w:rPr>
              <w:t xml:space="preserve">Biological and </w:t>
            </w:r>
            <w:r w:rsidR="008D4E05">
              <w:rPr>
                <w:rFonts w:ascii="Times New Roman" w:hAnsi="Times New Roman"/>
                <w:b/>
                <w:i/>
              </w:rPr>
              <w:t>c</w:t>
            </w:r>
            <w:r w:rsidRPr="00903AAA">
              <w:rPr>
                <w:rFonts w:ascii="Times New Roman" w:hAnsi="Times New Roman"/>
                <w:b/>
                <w:i/>
              </w:rPr>
              <w:t xml:space="preserve">hemical </w:t>
            </w:r>
            <w:r w:rsidR="008D4E05">
              <w:rPr>
                <w:rFonts w:ascii="Times New Roman" w:hAnsi="Times New Roman"/>
                <w:b/>
                <w:i/>
              </w:rPr>
              <w:t>properties</w:t>
            </w:r>
          </w:p>
          <w:p w:rsidR="006D7B11" w:rsidRDefault="006D7B11" w:rsidP="00E4456A">
            <w:pPr>
              <w:spacing w:before="120" w:after="120" w:line="240" w:lineRule="auto"/>
              <w:jc w:val="both"/>
              <w:rPr>
                <w:rFonts w:ascii="Times New Roman" w:hAnsi="Times New Roman"/>
              </w:rPr>
            </w:pPr>
            <w:r w:rsidRPr="00903AAA">
              <w:rPr>
                <w:rFonts w:ascii="Times New Roman" w:hAnsi="Times New Roman"/>
                <w:lang w:val="en-CA" w:eastAsia="fr-CA"/>
              </w:rPr>
              <w:t xml:space="preserve">We collected water samples from the surface to measure </w:t>
            </w:r>
            <w:r w:rsidRPr="00A2538E">
              <w:rPr>
                <w:rFonts w:ascii="Times New Roman" w:hAnsi="Times New Roman"/>
                <w:b/>
              </w:rPr>
              <w:t>pH</w:t>
            </w:r>
            <w:r w:rsidRPr="00903AAA">
              <w:rPr>
                <w:rFonts w:ascii="Times New Roman" w:hAnsi="Times New Roman"/>
              </w:rPr>
              <w:t>, total phosphorus (</w:t>
            </w:r>
            <w:r w:rsidRPr="00A2538E">
              <w:rPr>
                <w:rFonts w:ascii="Times New Roman" w:hAnsi="Times New Roman"/>
                <w:b/>
              </w:rPr>
              <w:t>TP</w:t>
            </w:r>
            <w:r w:rsidRPr="00903AAA">
              <w:rPr>
                <w:rFonts w:ascii="Times New Roman" w:hAnsi="Times New Roman"/>
              </w:rPr>
              <w:t>), total nitrogen (</w:t>
            </w:r>
            <w:r w:rsidRPr="00A2538E">
              <w:rPr>
                <w:rFonts w:ascii="Times New Roman" w:hAnsi="Times New Roman"/>
                <w:b/>
              </w:rPr>
              <w:t>TN</w:t>
            </w:r>
            <w:r w:rsidRPr="00903AAA">
              <w:rPr>
                <w:rFonts w:ascii="Times New Roman" w:hAnsi="Times New Roman"/>
              </w:rPr>
              <w:t>) and total dissolved iron (</w:t>
            </w:r>
            <w:r w:rsidRPr="00A2538E">
              <w:rPr>
                <w:rFonts w:ascii="Times New Roman" w:hAnsi="Times New Roman"/>
                <w:b/>
              </w:rPr>
              <w:t>Fe</w:t>
            </w:r>
            <w:r w:rsidRPr="00903AAA">
              <w:rPr>
                <w:rFonts w:ascii="Times New Roman" w:hAnsi="Times New Roman"/>
              </w:rPr>
              <w:t xml:space="preserve">) concentrations. </w:t>
            </w:r>
            <w:r w:rsidRPr="00903AAA">
              <w:rPr>
                <w:rFonts w:ascii="Times New Roman" w:hAnsi="Times New Roman"/>
                <w:lang w:val="en-CA" w:eastAsia="fr-CA"/>
              </w:rPr>
              <w:t xml:space="preserve">We filtered surface water </w:t>
            </w:r>
            <w:r w:rsidRPr="00903AAA">
              <w:rPr>
                <w:rFonts w:ascii="Times New Roman" w:hAnsi="Times New Roman"/>
              </w:rPr>
              <w:t xml:space="preserve">through pre-rinsed cellulose acetate filters (0.2 </w:t>
            </w:r>
            <w:r w:rsidRPr="00903AAA">
              <w:rPr>
                <w:rFonts w:ascii="Times New Roman" w:hAnsi="Times New Roman"/>
                <w:lang w:val="fr-CA"/>
              </w:rPr>
              <w:t>μ</w:t>
            </w:r>
            <w:r w:rsidRPr="00903AAA">
              <w:rPr>
                <w:rFonts w:ascii="Times New Roman" w:hAnsi="Times New Roman"/>
              </w:rPr>
              <w:t>m</w:t>
            </w:r>
            <w:r w:rsidRPr="00903AAA">
              <w:rPr>
                <w:rFonts w:ascii="Times New Roman" w:hAnsi="Times New Roman"/>
                <w:lang w:eastAsia="fr-CA"/>
              </w:rPr>
              <w:t xml:space="preserve">) in order to </w:t>
            </w:r>
            <w:r w:rsidRPr="00903AAA">
              <w:rPr>
                <w:rFonts w:ascii="Times New Roman" w:hAnsi="Times New Roman"/>
              </w:rPr>
              <w:t>analyze dissolved organic carbon concentration (</w:t>
            </w:r>
            <w:r w:rsidRPr="00A2538E">
              <w:rPr>
                <w:rFonts w:ascii="Times New Roman" w:hAnsi="Times New Roman"/>
                <w:b/>
              </w:rPr>
              <w:t>DOC</w:t>
            </w:r>
            <w:r w:rsidRPr="00903AAA">
              <w:rPr>
                <w:rFonts w:ascii="Times New Roman" w:hAnsi="Times New Roman"/>
              </w:rPr>
              <w:t xml:space="preserve">) and perform optical analyses on </w:t>
            </w:r>
            <w:r w:rsidR="0051344B">
              <w:rPr>
                <w:rFonts w:ascii="Times New Roman" w:hAnsi="Times New Roman"/>
              </w:rPr>
              <w:t xml:space="preserve">the </w:t>
            </w:r>
            <w:r w:rsidRPr="00903AAA">
              <w:rPr>
                <w:rFonts w:ascii="Times New Roman" w:hAnsi="Times New Roman"/>
              </w:rPr>
              <w:t xml:space="preserve">chromophoric DOM (CDOM) (see below). We stored samples </w:t>
            </w:r>
            <w:r w:rsidRPr="00903AAA">
              <w:rPr>
                <w:rFonts w:ascii="Times New Roman" w:hAnsi="Times New Roman"/>
                <w:lang w:eastAsia="fr-CA"/>
              </w:rPr>
              <w:t xml:space="preserve">in </w:t>
            </w:r>
            <w:r w:rsidRPr="00903AAA">
              <w:rPr>
                <w:rFonts w:ascii="Times New Roman" w:hAnsi="Times New Roman"/>
              </w:rPr>
              <w:t>acid-washed and combusted glass vials,</w:t>
            </w:r>
            <w:r w:rsidR="00A204B8">
              <w:rPr>
                <w:rFonts w:ascii="Times New Roman" w:hAnsi="Times New Roman"/>
                <w:lang w:eastAsia="fr-CA"/>
              </w:rPr>
              <w:t xml:space="preserve"> at 4°C in the dark, and</w:t>
            </w:r>
            <w:r w:rsidRPr="00903AAA">
              <w:rPr>
                <w:rFonts w:ascii="Times New Roman" w:hAnsi="Times New Roman"/>
                <w:lang w:eastAsia="fr-CA"/>
              </w:rPr>
              <w:t xml:space="preserve"> DOC quantification was carried out </w:t>
            </w:r>
            <w:r w:rsidRPr="00903AAA">
              <w:rPr>
                <w:rFonts w:ascii="Times New Roman" w:hAnsi="Times New Roman"/>
              </w:rPr>
              <w:t>using a carbon analyzer (TOC-5000A or TOC-VCPH, Shimadzu, Kyoto, Japan). We also filtered surface water onto GF/F</w:t>
            </w:r>
            <w:r w:rsidR="0051344B">
              <w:rPr>
                <w:rFonts w:ascii="Times New Roman" w:hAnsi="Times New Roman"/>
              </w:rPr>
              <w:t xml:space="preserve"> filters </w:t>
            </w:r>
            <w:r w:rsidRPr="00903AAA">
              <w:rPr>
                <w:rFonts w:ascii="Times New Roman" w:hAnsi="Times New Roman"/>
              </w:rPr>
              <w:t xml:space="preserve">to determine pelagic chlorophyll </w:t>
            </w:r>
            <w:r w:rsidRPr="00903AAA">
              <w:rPr>
                <w:rFonts w:ascii="Times New Roman" w:hAnsi="Times New Roman"/>
                <w:i/>
              </w:rPr>
              <w:t>a</w:t>
            </w:r>
            <w:r w:rsidRPr="00903AAA">
              <w:rPr>
                <w:rFonts w:ascii="Times New Roman" w:hAnsi="Times New Roman"/>
              </w:rPr>
              <w:t xml:space="preserve"> (</w:t>
            </w:r>
            <w:r w:rsidRPr="00A2538E">
              <w:rPr>
                <w:rFonts w:ascii="Times New Roman" w:hAnsi="Times New Roman"/>
                <w:b/>
              </w:rPr>
              <w:t>Chla</w:t>
            </w:r>
            <w:r w:rsidRPr="00903AAA">
              <w:rPr>
                <w:rFonts w:ascii="Times New Roman" w:hAnsi="Times New Roman"/>
              </w:rPr>
              <w:t xml:space="preserve">) concentration following </w:t>
            </w:r>
            <w:r w:rsidR="00783BC1" w:rsidRPr="00903AAA">
              <w:rPr>
                <w:rFonts w:ascii="Times New Roman" w:hAnsi="Times New Roman"/>
              </w:rPr>
              <w:fldChar w:fldCharType="begin"/>
            </w:r>
            <w:r w:rsidRPr="00903AAA">
              <w:rPr>
                <w:rFonts w:ascii="Times New Roman" w:hAnsi="Times New Roman"/>
              </w:rPr>
              <w:instrText xml:space="preserve"> ADDIN EN.CITE &lt;EndNote&gt;&lt;Cite AuthorYear="1"&gt;&lt;Author&gt;Nusch&lt;/Author&gt;&lt;Year&gt;1980&lt;/Year&gt;&lt;RecNum&gt;717&lt;/RecNum&gt;&lt;DisplayText&gt;Nusch (1980)&lt;/DisplayText&gt;&lt;record&gt;&lt;rec-number&gt;717&lt;/rec-number&gt;&lt;foreign-keys&gt;&lt;key app="EN" db-id="spap5xdperdt93e5evapza9wrdsdz9speffv" timestamp="1494533449"&gt;717&lt;/key&gt;&lt;/foreign-keys&gt;&lt;ref-type name="Journal Article"&gt;17&lt;/ref-type&gt;&lt;contributors&gt;&lt;authors&gt;&lt;author&gt;Nusch, E. A.&lt;/author&gt;&lt;/authors&gt;&lt;/contributors&gt;&lt;titles&gt;&lt;title&gt;Comparison of different methods for chlorophyll and phaeopigments determination&lt;/title&gt;&lt;secondary-title&gt;Archiv für Hydrobiologia&lt;/secondary-title&gt;&lt;/titles&gt;&lt;periodical&gt;&lt;full-title&gt;Archiv für Hydrobiologia&lt;/full-title&gt;&lt;/periodical&gt;&lt;pages&gt;14-35&lt;/pages&gt;&lt;volume&gt;14&lt;/volume&gt;&lt;dates&gt;&lt;year&gt;1980&lt;/year&gt;&lt;/dates&gt;&lt;urls&gt;&lt;/urls&gt;&lt;/record&gt;&lt;/Cite&gt;&lt;/EndNote&gt;</w:instrText>
            </w:r>
            <w:r w:rsidR="00783BC1" w:rsidRPr="00903AAA">
              <w:rPr>
                <w:rFonts w:ascii="Times New Roman" w:hAnsi="Times New Roman"/>
              </w:rPr>
              <w:fldChar w:fldCharType="separate"/>
            </w:r>
            <w:r w:rsidRPr="00903AAA">
              <w:rPr>
                <w:rFonts w:ascii="Times New Roman" w:hAnsi="Times New Roman"/>
                <w:noProof/>
              </w:rPr>
              <w:t>Nusch (1980)</w:t>
            </w:r>
            <w:r w:rsidR="00783BC1" w:rsidRPr="00903AAA">
              <w:rPr>
                <w:rFonts w:ascii="Times New Roman" w:hAnsi="Times New Roman"/>
              </w:rPr>
              <w:fldChar w:fldCharType="end"/>
            </w:r>
            <w:r w:rsidR="00D43E9A">
              <w:rPr>
                <w:rFonts w:ascii="Times New Roman" w:hAnsi="Times New Roman"/>
              </w:rPr>
              <w:t>.</w:t>
            </w:r>
          </w:p>
          <w:p w:rsidR="00903AAA" w:rsidRPr="00903AAA" w:rsidRDefault="00903AAA" w:rsidP="00E4456A">
            <w:pPr>
              <w:spacing w:before="240" w:after="120" w:line="240" w:lineRule="auto"/>
              <w:rPr>
                <w:rFonts w:ascii="Times New Roman" w:hAnsi="Times New Roman"/>
                <w:b/>
                <w:i/>
              </w:rPr>
            </w:pPr>
            <w:r w:rsidRPr="00903AAA">
              <w:rPr>
                <w:rFonts w:ascii="Times New Roman" w:hAnsi="Times New Roman"/>
                <w:b/>
                <w:i/>
              </w:rPr>
              <w:t>Spectrophotometric and fluorometric  indexes</w:t>
            </w:r>
          </w:p>
          <w:p w:rsidR="00A2538E" w:rsidRPr="00E4456A" w:rsidRDefault="00903AAA" w:rsidP="00E4456A">
            <w:pPr>
              <w:spacing w:before="120" w:after="120" w:line="240" w:lineRule="auto"/>
              <w:jc w:val="both"/>
              <w:rPr>
                <w:rFonts w:ascii="Times New Roman" w:hAnsi="Times New Roman"/>
              </w:rPr>
            </w:pPr>
            <w:r w:rsidRPr="00E4456A">
              <w:rPr>
                <w:rFonts w:ascii="Times New Roman" w:hAnsi="Times New Roman"/>
              </w:rPr>
              <w:t>We measured CDOM absorbance between 250 and 800 nm using a UV-visible Cary 100 (Agilent, Santa Clara, CA), Cary 300 (Agilent, Santa Clara, CA) or LAMBDA 650 (PerkinElmer, Waltham, MA) spectrophotometer, depending o</w:t>
            </w:r>
            <w:r w:rsidR="00120135">
              <w:rPr>
                <w:rFonts w:ascii="Times New Roman" w:hAnsi="Times New Roman"/>
              </w:rPr>
              <w:t>n</w:t>
            </w:r>
            <w:r w:rsidRPr="00E4456A">
              <w:rPr>
                <w:rFonts w:ascii="Times New Roman" w:hAnsi="Times New Roman"/>
              </w:rPr>
              <w:t xml:space="preserve"> the sample origin. After subtracting the blank spectrum, we applied a null-point adjustment, using the mean value from 750 to 800 nm</w:t>
            </w:r>
            <w:r w:rsidR="00A2538E" w:rsidRPr="00E4456A">
              <w:rPr>
                <w:rFonts w:ascii="Times New Roman" w:hAnsi="Times New Roman"/>
              </w:rPr>
              <w:t>.</w:t>
            </w:r>
          </w:p>
          <w:p w:rsidR="00A2538E" w:rsidRPr="00E4456A" w:rsidRDefault="00A2538E" w:rsidP="00E4456A">
            <w:pPr>
              <w:spacing w:before="120" w:after="120" w:line="240" w:lineRule="auto"/>
              <w:jc w:val="both"/>
              <w:rPr>
                <w:rFonts w:ascii="Times New Roman" w:hAnsi="Times New Roman"/>
              </w:rPr>
            </w:pPr>
            <w:r w:rsidRPr="00E4456A">
              <w:rPr>
                <w:rFonts w:ascii="Times New Roman" w:hAnsi="Times New Roman"/>
              </w:rPr>
              <w:t>We calculated the specific ultraviolet absorbance at 254 nm (</w:t>
            </w:r>
            <w:r w:rsidRPr="00E4456A">
              <w:rPr>
                <w:rFonts w:ascii="Times New Roman" w:hAnsi="Times New Roman"/>
                <w:b/>
              </w:rPr>
              <w:t>SUVA</w:t>
            </w:r>
            <w:r w:rsidRPr="00E4456A">
              <w:rPr>
                <w:rFonts w:ascii="Times New Roman" w:hAnsi="Times New Roman"/>
                <w:b/>
                <w:vertAlign w:val="subscript"/>
              </w:rPr>
              <w:t>254</w:t>
            </w:r>
            <w:r w:rsidRPr="00E4456A">
              <w:rPr>
                <w:rFonts w:ascii="Times New Roman" w:hAnsi="Times New Roman"/>
              </w:rPr>
              <w:t>) from DOC normalized A</w:t>
            </w:r>
            <w:r w:rsidRPr="00E4456A">
              <w:rPr>
                <w:rFonts w:ascii="Times New Roman" w:hAnsi="Times New Roman"/>
                <w:vertAlign w:val="subscript"/>
              </w:rPr>
              <w:t>254</w:t>
            </w:r>
            <w:r w:rsidRPr="00E4456A">
              <w:rPr>
                <w:rFonts w:ascii="Times New Roman" w:hAnsi="Times New Roman"/>
              </w:rPr>
              <w:t xml:space="preserve"> values. In order to remove the iron effect on SUVA</w:t>
            </w:r>
            <w:r w:rsidRPr="00E4456A">
              <w:rPr>
                <w:rFonts w:ascii="Times New Roman" w:hAnsi="Times New Roman"/>
                <w:vertAlign w:val="subscript"/>
              </w:rPr>
              <w:t>254</w:t>
            </w:r>
            <w:r w:rsidRPr="00E4456A">
              <w:rPr>
                <w:rFonts w:ascii="Times New Roman" w:hAnsi="Times New Roman"/>
              </w:rPr>
              <w:t>, we applied the following equation when the Fe concentration was higher than 2 mg L</w:t>
            </w:r>
            <w:r w:rsidRPr="00E4456A">
              <w:rPr>
                <w:rFonts w:ascii="Times New Roman" w:hAnsi="Times New Roman"/>
                <w:vertAlign w:val="superscript"/>
              </w:rPr>
              <w:t>-1</w:t>
            </w:r>
            <w:r w:rsidRPr="00E4456A">
              <w:rPr>
                <w:rFonts w:ascii="Times New Roman" w:hAnsi="Times New Roman"/>
              </w:rPr>
              <w:t>:</w:t>
            </w:r>
          </w:p>
          <w:p w:rsidR="0073389D" w:rsidRPr="00E4456A" w:rsidRDefault="0073389D" w:rsidP="00E4456A">
            <w:pPr>
              <w:spacing w:before="120" w:after="120" w:line="240" w:lineRule="auto"/>
              <w:rPr>
                <w:rFonts w:ascii="Times New Roman" w:hAnsi="Times New Roman"/>
              </w:rPr>
            </w:pPr>
            <w:r w:rsidRPr="00E4456A">
              <w:rPr>
                <w:rFonts w:ascii="Times New Roman" w:hAnsi="Times New Roman"/>
              </w:rPr>
              <w:t xml:space="preserve">          </w:t>
            </w:r>
            <m:oMath>
              <m:sSub>
                <m:sSubPr>
                  <m:ctrlPr>
                    <w:rPr>
                      <w:rFonts w:ascii="Cambria Math" w:hAnsi="Times New Roman"/>
                    </w:rPr>
                  </m:ctrlPr>
                </m:sSubPr>
                <m:e>
                  <m:r>
                    <m:rPr>
                      <m:sty m:val="p"/>
                    </m:rPr>
                    <w:rPr>
                      <w:rFonts w:ascii="Cambria Math" w:hAnsi="Times New Roman"/>
                    </w:rPr>
                    <m:t>A</m:t>
                  </m:r>
                </m:e>
                <m:sub>
                  <m:r>
                    <m:rPr>
                      <m:sty m:val="p"/>
                    </m:rPr>
                    <w:rPr>
                      <w:rFonts w:ascii="Cambria Math" w:hAnsi="Times New Roman"/>
                    </w:rPr>
                    <m:t>254  corrected</m:t>
                  </m:r>
                </m:sub>
              </m:sSub>
              <m:r>
                <m:rPr>
                  <m:sty m:val="p"/>
                </m:rPr>
                <w:rPr>
                  <w:rFonts w:ascii="Cambria Math" w:hAnsi="Times New Roman"/>
                </w:rPr>
                <m:t xml:space="preserve">= </m:t>
              </m:r>
              <m:sSub>
                <m:sSubPr>
                  <m:ctrlPr>
                    <w:rPr>
                      <w:rFonts w:ascii="Cambria Math" w:hAnsi="Times New Roman"/>
                    </w:rPr>
                  </m:ctrlPr>
                </m:sSubPr>
                <m:e>
                  <m:r>
                    <m:rPr>
                      <m:sty m:val="p"/>
                    </m:rPr>
                    <w:rPr>
                      <w:rFonts w:ascii="Cambria Math" w:hAnsi="Times New Roman"/>
                    </w:rPr>
                    <m:t>A</m:t>
                  </m:r>
                </m:e>
                <m:sub>
                  <m:r>
                    <m:rPr>
                      <m:sty m:val="p"/>
                    </m:rPr>
                    <w:rPr>
                      <w:rFonts w:ascii="Cambria Math" w:hAnsi="Times New Roman"/>
                    </w:rPr>
                    <m:t>254  measured</m:t>
                  </m:r>
                </m:sub>
              </m:sSub>
              <m:r>
                <m:rPr>
                  <m:sty m:val="p"/>
                </m:rPr>
                <w:rPr>
                  <w:rFonts w:ascii="Cambria Math" w:hAnsi="Times New Roman"/>
                </w:rPr>
                <m:t xml:space="preserve"> </m:t>
              </m:r>
              <m:r>
                <m:rPr>
                  <m:sty m:val="p"/>
                </m:rPr>
                <w:rPr>
                  <w:rFonts w:ascii="Times New Roman" w:hAnsi="Times New Roman"/>
                </w:rPr>
                <m:t>-</m:t>
              </m:r>
              <m:d>
                <m:dPr>
                  <m:ctrlPr>
                    <w:rPr>
                      <w:rFonts w:ascii="Cambria Math" w:hAnsi="Times New Roman"/>
                    </w:rPr>
                  </m:ctrlPr>
                </m:dPr>
                <m:e>
                  <m:r>
                    <m:rPr>
                      <m:sty m:val="p"/>
                    </m:rPr>
                    <w:rPr>
                      <w:rFonts w:ascii="Cambria Math" w:hAnsi="Times New Roman"/>
                    </w:rPr>
                    <m:t xml:space="preserve">0.0653 </m:t>
                  </m:r>
                  <m:r>
                    <m:rPr>
                      <m:sty m:val="p"/>
                    </m:rPr>
                    <w:rPr>
                      <w:rFonts w:ascii="Times New Roman" w:hAnsi="Times New Roman"/>
                    </w:rPr>
                    <m:t>×</m:t>
                  </m:r>
                  <m:r>
                    <m:rPr>
                      <m:sty m:val="p"/>
                    </m:rPr>
                    <w:rPr>
                      <w:rFonts w:ascii="Cambria Math" w:hAnsi="Times New Roman"/>
                    </w:rPr>
                    <m:t xml:space="preserve"> </m:t>
                  </m:r>
                  <m:d>
                    <m:dPr>
                      <m:begChr m:val="["/>
                      <m:endChr m:val="]"/>
                      <m:ctrlPr>
                        <w:rPr>
                          <w:rFonts w:ascii="Cambria Math" w:hAnsi="Times New Roman"/>
                        </w:rPr>
                      </m:ctrlPr>
                    </m:dPr>
                    <m:e>
                      <m:r>
                        <m:rPr>
                          <m:sty m:val="p"/>
                        </m:rPr>
                        <w:rPr>
                          <w:rFonts w:ascii="Cambria Math" w:hAnsi="Times New Roman"/>
                        </w:rPr>
                        <m:t>Fe</m:t>
                      </m:r>
                    </m:e>
                  </m:d>
                </m:e>
              </m:d>
            </m:oMath>
          </w:p>
          <w:p w:rsidR="00903AAA" w:rsidRPr="00E4456A" w:rsidRDefault="00A2538E" w:rsidP="00E4456A">
            <w:pPr>
              <w:spacing w:before="120" w:after="120" w:line="240" w:lineRule="auto"/>
              <w:jc w:val="both"/>
              <w:rPr>
                <w:rFonts w:ascii="Times New Roman" w:hAnsi="Times New Roman"/>
              </w:rPr>
            </w:pPr>
            <w:r w:rsidRPr="00E4456A">
              <w:rPr>
                <w:rFonts w:ascii="Times New Roman" w:hAnsi="Times New Roman"/>
              </w:rPr>
              <w:t>We</w:t>
            </w:r>
            <w:r w:rsidR="00903AAA" w:rsidRPr="00E4456A">
              <w:rPr>
                <w:rFonts w:ascii="Times New Roman" w:hAnsi="Times New Roman"/>
              </w:rPr>
              <w:t xml:space="preserve"> report</w:t>
            </w:r>
            <w:r w:rsidRPr="00E4456A">
              <w:rPr>
                <w:rFonts w:ascii="Times New Roman" w:hAnsi="Times New Roman"/>
              </w:rPr>
              <w:t>ed</w:t>
            </w:r>
            <w:r w:rsidR="00903AAA" w:rsidRPr="00E4456A">
              <w:rPr>
                <w:rFonts w:ascii="Times New Roman" w:hAnsi="Times New Roman"/>
              </w:rPr>
              <w:t xml:space="preserve"> CDOM as the absorption coefficient at 320 (</w:t>
            </w:r>
            <w:r w:rsidR="00903AAA" w:rsidRPr="00E4456A">
              <w:rPr>
                <w:rFonts w:ascii="Times New Roman" w:hAnsi="Times New Roman"/>
                <w:b/>
              </w:rPr>
              <w:t>a</w:t>
            </w:r>
            <w:r w:rsidR="00903AAA" w:rsidRPr="00E4456A">
              <w:rPr>
                <w:rFonts w:ascii="Times New Roman" w:hAnsi="Times New Roman"/>
                <w:b/>
                <w:vertAlign w:val="subscript"/>
              </w:rPr>
              <w:t>320</w:t>
            </w:r>
            <w:r w:rsidR="00903AAA" w:rsidRPr="00E4456A">
              <w:rPr>
                <w:rFonts w:ascii="Times New Roman" w:hAnsi="Times New Roman"/>
              </w:rPr>
              <w:t>) and 440 nm (</w:t>
            </w:r>
            <w:r w:rsidR="00903AAA" w:rsidRPr="00E4456A">
              <w:rPr>
                <w:rFonts w:ascii="Times New Roman" w:hAnsi="Times New Roman"/>
                <w:b/>
              </w:rPr>
              <w:t>a</w:t>
            </w:r>
            <w:r w:rsidR="00903AAA" w:rsidRPr="00E4456A">
              <w:rPr>
                <w:rFonts w:ascii="Times New Roman" w:hAnsi="Times New Roman"/>
                <w:b/>
                <w:vertAlign w:val="subscript"/>
              </w:rPr>
              <w:t>440</w:t>
            </w:r>
            <w:r w:rsidR="00903AAA" w:rsidRPr="00E4456A">
              <w:rPr>
                <w:rFonts w:ascii="Times New Roman" w:hAnsi="Times New Roman"/>
              </w:rPr>
              <w:t>) according to the equation:</w:t>
            </w:r>
          </w:p>
          <w:p w:rsidR="00903AAA" w:rsidRPr="00E4456A" w:rsidRDefault="0073389D" w:rsidP="00E4456A">
            <w:pPr>
              <w:spacing w:before="120" w:after="120" w:line="240" w:lineRule="auto"/>
              <w:rPr>
                <w:rFonts w:ascii="Cambria Math" w:hAnsi="Cambria Math"/>
                <w:b/>
              </w:rPr>
            </w:pPr>
            <w:r w:rsidRPr="00E4456A">
              <w:rPr>
                <w:rFonts w:ascii="Times New Roman" w:hAnsi="Times New Roman"/>
              </w:rPr>
              <w:t xml:space="preserv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λ</m:t>
                  </m:r>
                </m:sub>
              </m:sSub>
              <m:r>
                <m:rPr>
                  <m:sty m:val="p"/>
                </m:rPr>
                <w:rPr>
                  <w:rFonts w:ascii="Cambria Math" w:hAnsi="Cambria Math"/>
                </w:rPr>
                <m:t>=2.303 ×</m:t>
              </m:r>
              <m:r>
                <m:rPr>
                  <m:nor/>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λ</m:t>
                  </m:r>
                </m:sub>
              </m:sSub>
              <m:r>
                <m:rPr>
                  <m:sty m:val="p"/>
                </m:rPr>
                <w:rPr>
                  <w:rFonts w:ascii="Cambria Math" w:hAnsi="Cambria Math"/>
                </w:rPr>
                <m:t xml:space="preserve">/ L </m:t>
              </m:r>
              <m:r>
                <m:rPr>
                  <m:nor/>
                </m:rPr>
                <w:rPr>
                  <w:rFonts w:ascii="Cambria Math" w:hAnsi="Cambria Math"/>
                </w:rPr>
                <m:t>,</m:t>
              </m:r>
            </m:oMath>
          </w:p>
          <w:p w:rsidR="0073389D" w:rsidRPr="00E4456A" w:rsidRDefault="00903AAA" w:rsidP="00E4456A">
            <w:pPr>
              <w:spacing w:before="120" w:after="120" w:line="240" w:lineRule="auto"/>
              <w:jc w:val="both"/>
              <w:rPr>
                <w:rStyle w:val="lev"/>
                <w:rFonts w:ascii="Times New Roman" w:hAnsi="Times New Roman"/>
                <w:b w:val="0"/>
              </w:rPr>
            </w:pPr>
            <w:proofErr w:type="gramStart"/>
            <w:r w:rsidRPr="00E4456A">
              <w:rPr>
                <w:rStyle w:val="lev"/>
                <w:rFonts w:ascii="Times New Roman" w:hAnsi="Times New Roman"/>
                <w:b w:val="0"/>
              </w:rPr>
              <w:t>where</w:t>
            </w:r>
            <w:proofErr w:type="gramEnd"/>
            <w:r w:rsidRPr="00E4456A">
              <w:rPr>
                <w:rStyle w:val="lev"/>
                <w:rFonts w:ascii="Times New Roman" w:hAnsi="Times New Roman"/>
                <w:b w:val="0"/>
              </w:rPr>
              <w:t xml:space="preserve"> </w:t>
            </w:r>
            <w:proofErr w:type="spellStart"/>
            <w:r w:rsidRPr="00E4456A">
              <w:rPr>
                <w:rStyle w:val="lev"/>
                <w:rFonts w:ascii="Times New Roman" w:hAnsi="Times New Roman"/>
                <w:b w:val="0"/>
              </w:rPr>
              <w:t>a</w:t>
            </w:r>
            <w:r w:rsidRPr="00E4456A">
              <w:rPr>
                <w:rStyle w:val="lev"/>
                <w:rFonts w:ascii="Times New Roman" w:hAnsi="Times New Roman"/>
                <w:b w:val="0"/>
                <w:vertAlign w:val="subscript"/>
              </w:rPr>
              <w:t>λ</w:t>
            </w:r>
            <w:proofErr w:type="spellEnd"/>
            <w:r w:rsidRPr="00E4456A">
              <w:rPr>
                <w:rStyle w:val="lev"/>
                <w:rFonts w:ascii="Times New Roman" w:hAnsi="Times New Roman"/>
                <w:b w:val="0"/>
              </w:rPr>
              <w:t xml:space="preserve"> is the absorption coefficient (m</w:t>
            </w:r>
            <w:r w:rsidRPr="00E4456A">
              <w:rPr>
                <w:rStyle w:val="lev"/>
                <w:rFonts w:ascii="Times New Roman" w:hAnsi="Times New Roman"/>
                <w:b w:val="0"/>
                <w:vertAlign w:val="superscript"/>
              </w:rPr>
              <w:t>-1</w:t>
            </w:r>
            <w:r w:rsidRPr="00E4456A">
              <w:rPr>
                <w:rStyle w:val="lev"/>
                <w:rFonts w:ascii="Times New Roman" w:hAnsi="Times New Roman"/>
                <w:b w:val="0"/>
              </w:rPr>
              <w:t xml:space="preserve">) at wavelength λ, </w:t>
            </w:r>
            <w:proofErr w:type="spellStart"/>
            <w:r w:rsidRPr="00E4456A">
              <w:rPr>
                <w:rStyle w:val="lev"/>
                <w:rFonts w:ascii="Times New Roman" w:hAnsi="Times New Roman"/>
                <w:b w:val="0"/>
              </w:rPr>
              <w:t>A</w:t>
            </w:r>
            <w:r w:rsidRPr="00E4456A">
              <w:rPr>
                <w:rStyle w:val="lev"/>
                <w:rFonts w:ascii="Times New Roman" w:hAnsi="Times New Roman"/>
                <w:b w:val="0"/>
                <w:vertAlign w:val="subscript"/>
              </w:rPr>
              <w:t>λ</w:t>
            </w:r>
            <w:proofErr w:type="spellEnd"/>
            <w:r w:rsidRPr="00E4456A">
              <w:rPr>
                <w:rStyle w:val="lev"/>
                <w:rFonts w:ascii="Times New Roman" w:hAnsi="Times New Roman"/>
                <w:b w:val="0"/>
              </w:rPr>
              <w:t xml:space="preserve"> the absorbance corrected at wavelength λ and L the path length of the cuvette (m).</w:t>
            </w:r>
          </w:p>
          <w:p w:rsidR="00903AAA" w:rsidRPr="00E4456A" w:rsidRDefault="00903AAA" w:rsidP="00E4456A">
            <w:pPr>
              <w:spacing w:before="120" w:after="120" w:line="240" w:lineRule="auto"/>
              <w:jc w:val="both"/>
              <w:rPr>
                <w:rFonts w:ascii="Times New Roman" w:hAnsi="Times New Roman"/>
              </w:rPr>
            </w:pPr>
            <w:r w:rsidRPr="00E4456A">
              <w:rPr>
                <w:rStyle w:val="lev"/>
                <w:rFonts w:ascii="Times New Roman" w:hAnsi="Times New Roman"/>
                <w:b w:val="0"/>
              </w:rPr>
              <w:t xml:space="preserve">We also determined spectral slopes (S) following </w:t>
            </w:r>
            <w:r w:rsidR="00783BC1" w:rsidRPr="00E4456A">
              <w:rPr>
                <w:rStyle w:val="lev"/>
                <w:rFonts w:ascii="Times New Roman" w:hAnsi="Times New Roman"/>
                <w:b w:val="0"/>
              </w:rPr>
              <w:fldChar w:fldCharType="begin"/>
            </w:r>
            <w:r w:rsidRPr="00E4456A">
              <w:rPr>
                <w:rStyle w:val="lev"/>
                <w:rFonts w:ascii="Times New Roman" w:hAnsi="Times New Roman"/>
                <w:b w:val="0"/>
              </w:rPr>
              <w:instrText xml:space="preserve"> ADDIN EN.CITE &lt;EndNote&gt;&lt;Cite AuthorYear="1"&gt;&lt;Author&gt;Loiselle&lt;/Author&gt;&lt;Year&gt;2009&lt;/Year&gt;&lt;RecNum&gt;660&lt;/RecNum&gt;&lt;DisplayText&gt;Loiselle et al. (2009)&lt;/DisplayText&gt;&lt;record&gt;&lt;rec-number&gt;660&lt;/rec-number&gt;&lt;foreign-keys&gt;&lt;key app="EN" db-id="spap5xdperdt93e5evapza9wrdsdz9speffv" timestamp="1490568145"&gt;660&lt;/key&gt;&lt;/foreign-keys&gt;&lt;ref-type name="Journal Article"&gt;17&lt;/ref-type&gt;&lt;contributors&gt;&lt;authors&gt;&lt;author&gt;Loiselle, Steven A.&lt;/author&gt;&lt;author&gt;Bracchini, Luca&lt;/author&gt;&lt;author&gt;Cózar, Andres&lt;/author&gt;&lt;author&gt;Dattilo, Arduino M.&lt;/author&gt;&lt;author&gt;Tognazzi, Antonio&lt;/author&gt;&lt;author&gt;Rossi, Claudio&lt;/author&gt;&lt;/authors&gt;&lt;/contributors&gt;&lt;titles&gt;&lt;title&gt;Variability in photobleaching yields and their related impacts on optical conditions in subtropical lakes&lt;/title&gt;&lt;secondary-title&gt;Journal of Photochemistry and Photobiology B: Biology&lt;/secondary-title&gt;&lt;/titles&gt;&lt;periodical&gt;&lt;full-title&gt;Journal of Photochemistry and Photobiology B: Biology&lt;/full-title&gt;&lt;/periodical&gt;&lt;pages&gt;129-137&lt;/pages&gt;&lt;volume&gt;95&lt;/volume&gt;&lt;number&gt;2&lt;/number&gt;&lt;keywords&gt;&lt;keyword&gt;CDOM&lt;/keyword&gt;&lt;keyword&gt;Photodegradation&lt;/keyword&gt;&lt;keyword&gt;Photobleaching&lt;/keyword&gt;&lt;keyword&gt;Conservative mixing&lt;/keyword&gt;&lt;keyword&gt;Lakes&lt;/keyword&gt;&lt;keyword&gt;Argentina&lt;/keyword&gt;&lt;/keywords&gt;&lt;dates&gt;&lt;year&gt;2009&lt;/year&gt;&lt;/dates&gt;&lt;isbn&gt;1011-1344&lt;/isbn&gt;&lt;urls&gt;&lt;related-urls&gt;&lt;url&gt;http://www.sciencedirect.com/science/article/pii/S1011134409000359&lt;/url&gt;&lt;/related-urls&gt;&lt;/urls&gt;&lt;electronic-resource-num&gt;10.1016/j.jphotobiol.2009.02.002&lt;/electronic-resource-num&gt;&lt;/record&gt;&lt;/Cite&gt;&lt;/EndNote&gt;</w:instrText>
            </w:r>
            <w:r w:rsidR="00783BC1" w:rsidRPr="00E4456A">
              <w:rPr>
                <w:rStyle w:val="lev"/>
                <w:rFonts w:ascii="Times New Roman" w:hAnsi="Times New Roman"/>
                <w:b w:val="0"/>
              </w:rPr>
              <w:fldChar w:fldCharType="separate"/>
            </w:r>
            <w:r w:rsidRPr="00E4456A">
              <w:rPr>
                <w:rStyle w:val="lev"/>
                <w:rFonts w:ascii="Times New Roman" w:hAnsi="Times New Roman"/>
                <w:b w:val="0"/>
              </w:rPr>
              <w:t>Loiselle et al. (2009)</w:t>
            </w:r>
            <w:r w:rsidR="00783BC1" w:rsidRPr="00E4456A">
              <w:rPr>
                <w:rStyle w:val="lev"/>
                <w:rFonts w:ascii="Times New Roman" w:hAnsi="Times New Roman"/>
                <w:b w:val="0"/>
              </w:rPr>
              <w:fldChar w:fldCharType="end"/>
            </w:r>
            <w:r w:rsidRPr="00E4456A">
              <w:rPr>
                <w:rStyle w:val="lev"/>
                <w:rFonts w:ascii="Times New Roman" w:hAnsi="Times New Roman"/>
                <w:b w:val="0"/>
              </w:rPr>
              <w:t xml:space="preserve"> for the intervals 279-299 (</w:t>
            </w:r>
            <w:r w:rsidRPr="00E4456A">
              <w:rPr>
                <w:rStyle w:val="lev"/>
                <w:rFonts w:ascii="Times New Roman" w:hAnsi="Times New Roman"/>
              </w:rPr>
              <w:t>S</w:t>
            </w:r>
            <w:r w:rsidRPr="00E4456A">
              <w:rPr>
                <w:rStyle w:val="lev"/>
                <w:rFonts w:ascii="Times New Roman" w:hAnsi="Times New Roman"/>
                <w:vertAlign w:val="subscript"/>
              </w:rPr>
              <w:t>289</w:t>
            </w:r>
            <w:r w:rsidR="00E4456A" w:rsidRPr="00E4456A">
              <w:rPr>
                <w:rStyle w:val="lev"/>
                <w:rFonts w:ascii="Times New Roman" w:hAnsi="Times New Roman"/>
                <w:b w:val="0"/>
              </w:rPr>
              <w:t xml:space="preserve">), </w:t>
            </w:r>
            <w:r w:rsidRPr="00E4456A">
              <w:rPr>
                <w:rFonts w:ascii="Times New Roman" w:hAnsi="Times New Roman"/>
              </w:rPr>
              <w:t>275-295 (S</w:t>
            </w:r>
            <w:r w:rsidRPr="00E4456A">
              <w:rPr>
                <w:rFonts w:ascii="Times New Roman" w:hAnsi="Times New Roman"/>
                <w:vertAlign w:val="subscript"/>
              </w:rPr>
              <w:t>285</w:t>
            </w:r>
            <w:r w:rsidRPr="00E4456A">
              <w:rPr>
                <w:rFonts w:ascii="Times New Roman" w:hAnsi="Times New Roman"/>
              </w:rPr>
              <w:t>) and 350-400 nm (S</w:t>
            </w:r>
            <w:r w:rsidRPr="00E4456A">
              <w:rPr>
                <w:rFonts w:ascii="Times New Roman" w:hAnsi="Times New Roman"/>
                <w:vertAlign w:val="subscript"/>
              </w:rPr>
              <w:t>375</w:t>
            </w:r>
            <w:r w:rsidRPr="00E4456A">
              <w:rPr>
                <w:rFonts w:ascii="Times New Roman" w:hAnsi="Times New Roman"/>
              </w:rPr>
              <w:t xml:space="preserve">). We performed the regression calculations on </w:t>
            </w:r>
            <w:proofErr w:type="spellStart"/>
            <w:r w:rsidRPr="00E4456A">
              <w:rPr>
                <w:rFonts w:ascii="Times New Roman" w:hAnsi="Times New Roman"/>
              </w:rPr>
              <w:t>SciLab</w:t>
            </w:r>
            <w:proofErr w:type="spellEnd"/>
            <w:r w:rsidRPr="00E4456A">
              <w:rPr>
                <w:rFonts w:ascii="Times New Roman" w:hAnsi="Times New Roman"/>
              </w:rPr>
              <w:t xml:space="preserve"> v 5.5.2. The slope ratio (</w:t>
            </w:r>
            <w:r w:rsidRPr="00E4456A">
              <w:rPr>
                <w:rFonts w:ascii="Times New Roman" w:hAnsi="Times New Roman"/>
                <w:b/>
              </w:rPr>
              <w:t>S</w:t>
            </w:r>
            <w:r w:rsidRPr="00E4456A">
              <w:rPr>
                <w:rFonts w:ascii="Times New Roman" w:hAnsi="Times New Roman"/>
                <w:b/>
                <w:vertAlign w:val="subscript"/>
              </w:rPr>
              <w:t>R</w:t>
            </w:r>
            <w:r w:rsidRPr="00E4456A">
              <w:rPr>
                <w:rFonts w:ascii="Times New Roman" w:hAnsi="Times New Roman"/>
              </w:rPr>
              <w:t xml:space="preserve">) </w:t>
            </w:r>
            <w:r w:rsidR="007F2581">
              <w:rPr>
                <w:rFonts w:ascii="Times New Roman" w:hAnsi="Times New Roman"/>
              </w:rPr>
              <w:t>is</w:t>
            </w:r>
            <w:r w:rsidR="00E4456A" w:rsidRPr="00E4456A">
              <w:rPr>
                <w:rFonts w:ascii="Times New Roman" w:hAnsi="Times New Roman"/>
              </w:rPr>
              <w:t xml:space="preserve"> </w:t>
            </w:r>
            <w:r w:rsidRPr="00E4456A">
              <w:rPr>
                <w:rFonts w:ascii="Times New Roman" w:hAnsi="Times New Roman"/>
              </w:rPr>
              <w:t>S</w:t>
            </w:r>
            <w:r w:rsidRPr="00E4456A">
              <w:rPr>
                <w:rFonts w:ascii="Times New Roman" w:hAnsi="Times New Roman"/>
                <w:vertAlign w:val="subscript"/>
              </w:rPr>
              <w:t>285</w:t>
            </w:r>
            <w:r w:rsidR="007F2581">
              <w:rPr>
                <w:rFonts w:ascii="Times New Roman" w:hAnsi="Times New Roman"/>
              </w:rPr>
              <w:t xml:space="preserve"> divided by </w:t>
            </w:r>
            <w:r w:rsidRPr="00E4456A">
              <w:rPr>
                <w:rFonts w:ascii="Times New Roman" w:hAnsi="Times New Roman"/>
              </w:rPr>
              <w:t>S</w:t>
            </w:r>
            <w:r w:rsidRPr="00E4456A">
              <w:rPr>
                <w:rFonts w:ascii="Times New Roman" w:hAnsi="Times New Roman"/>
                <w:vertAlign w:val="subscript"/>
              </w:rPr>
              <w:t>375</w:t>
            </w:r>
            <w:r w:rsidR="00E4456A" w:rsidRPr="00E4456A">
              <w:rPr>
                <w:rFonts w:ascii="Times New Roman" w:hAnsi="Times New Roman"/>
              </w:rPr>
              <w:t>.</w:t>
            </w:r>
          </w:p>
          <w:p w:rsidR="00E4456A" w:rsidRDefault="00903AAA" w:rsidP="00E4456A">
            <w:pPr>
              <w:spacing w:before="120" w:after="120" w:line="240" w:lineRule="auto"/>
              <w:jc w:val="both"/>
              <w:rPr>
                <w:rFonts w:ascii="Times New Roman" w:hAnsi="Times New Roman"/>
              </w:rPr>
            </w:pPr>
            <w:r w:rsidRPr="00E4456A">
              <w:rPr>
                <w:rFonts w:ascii="Times New Roman" w:hAnsi="Times New Roman"/>
              </w:rPr>
              <w:t>For a subsample of 100 ponds, we recorded fluorescence intensity on Cary Eclipse (Agilent, Santa Clara, CA) across excitation wavelengths of 250-450 nm (10 nm increments) and emission wavelengths of 300-560 nm (2 nm increments) in order to construct excitation-emission matrices (EEMs). We calculated the fluorescence index (</w:t>
            </w:r>
            <w:r w:rsidRPr="00E4456A">
              <w:rPr>
                <w:rFonts w:ascii="Times New Roman" w:hAnsi="Times New Roman"/>
                <w:b/>
              </w:rPr>
              <w:t>FI</w:t>
            </w:r>
            <w:r w:rsidRPr="00E4456A">
              <w:rPr>
                <w:rFonts w:ascii="Times New Roman" w:hAnsi="Times New Roman"/>
              </w:rPr>
              <w:t>) as the ratio of fluorescence emission intensities at 450 nm and 500 nm for an excitation at 370 nm</w:t>
            </w:r>
            <w:r w:rsidR="00E4456A">
              <w:rPr>
                <w:rFonts w:ascii="Times New Roman" w:hAnsi="Times New Roman"/>
              </w:rPr>
              <w:t>.</w:t>
            </w:r>
          </w:p>
          <w:p w:rsidR="00E4456A" w:rsidRPr="00E4456A" w:rsidRDefault="00E4456A" w:rsidP="00E4456A">
            <w:pPr>
              <w:spacing w:before="240" w:after="120" w:line="240" w:lineRule="auto"/>
              <w:rPr>
                <w:rFonts w:ascii="Times New Roman" w:hAnsi="Times New Roman"/>
                <w:b/>
                <w:i/>
              </w:rPr>
            </w:pPr>
            <w:r>
              <w:rPr>
                <w:rFonts w:ascii="Times New Roman" w:hAnsi="Times New Roman"/>
                <w:b/>
                <w:i/>
              </w:rPr>
              <w:lastRenderedPageBreak/>
              <w:t>PARAFAC Results</w:t>
            </w:r>
          </w:p>
          <w:p w:rsidR="00903AAA" w:rsidRPr="00903AAA" w:rsidRDefault="00903AAA" w:rsidP="00E4456A">
            <w:pPr>
              <w:spacing w:before="120" w:after="120" w:line="240" w:lineRule="auto"/>
              <w:jc w:val="both"/>
              <w:rPr>
                <w:rFonts w:ascii="Times New Roman" w:hAnsi="Times New Roman"/>
              </w:rPr>
            </w:pPr>
            <w:r w:rsidRPr="00E4456A">
              <w:rPr>
                <w:rFonts w:ascii="Times New Roman" w:hAnsi="Times New Roman"/>
              </w:rPr>
              <w:t>To identify and quantify the main DOM components, we r</w:t>
            </w:r>
            <w:r w:rsidR="00120135">
              <w:rPr>
                <w:rFonts w:ascii="Times New Roman" w:hAnsi="Times New Roman"/>
              </w:rPr>
              <w:t>a</w:t>
            </w:r>
            <w:r w:rsidRPr="00E4456A">
              <w:rPr>
                <w:rFonts w:ascii="Times New Roman" w:hAnsi="Times New Roman"/>
              </w:rPr>
              <w:t>n a parallel factor (PARAFAC) model on 129 samples from 95 ponds in MATLAB v R2013a (</w:t>
            </w:r>
            <w:proofErr w:type="spellStart"/>
            <w:r w:rsidRPr="00E4456A">
              <w:rPr>
                <w:rFonts w:ascii="Times New Roman" w:hAnsi="Times New Roman"/>
              </w:rPr>
              <w:t>MathWorks</w:t>
            </w:r>
            <w:proofErr w:type="spellEnd"/>
            <w:r w:rsidRPr="00E4456A">
              <w:rPr>
                <w:rFonts w:ascii="Times New Roman" w:hAnsi="Times New Roman"/>
              </w:rPr>
              <w:t xml:space="preserve">, Natick, MA) as in </w:t>
            </w:r>
            <w:r w:rsidR="00783BC1" w:rsidRPr="00E4456A">
              <w:rPr>
                <w:rFonts w:ascii="Times New Roman" w:hAnsi="Times New Roman"/>
              </w:rPr>
              <w:fldChar w:fldCharType="begin"/>
            </w:r>
            <w:r w:rsidRPr="00E4456A">
              <w:rPr>
                <w:rFonts w:ascii="Times New Roman" w:hAnsi="Times New Roman"/>
              </w:rPr>
              <w:instrText xml:space="preserve"> ADDIN EN.CITE &lt;EndNote&gt;&lt;Cite AuthorYear="1"&gt;&lt;Author&gt;Murphy&lt;/Author&gt;&lt;Year&gt;2013&lt;/Year&gt;&lt;RecNum&gt;609&lt;/RecNum&gt;&lt;DisplayText&gt;Murphy et al. (2013)&lt;/DisplayText&gt;&lt;record&gt;&lt;rec-number&gt;609&lt;/rec-number&gt;&lt;foreign-keys&gt;&lt;key app="EN" db-id="spap5xdperdt93e5evapza9wrdsdz9speffv" timestamp="1484938153"&gt;609&lt;/key&gt;&lt;/foreign-keys&gt;&lt;ref-type name="Journal Article"&gt;17&lt;/ref-type&gt;&lt;contributors&gt;&lt;authors&gt;&lt;author&gt;Murphy, Kathleen R.&lt;/author&gt;&lt;author&gt;Stedmon, Colin A.&lt;/author&gt;&lt;author&gt;Graeber, Daniel&lt;/author&gt;&lt;author&gt;Bro, Rasmus&lt;/author&gt;&lt;/authors&gt;&lt;/contributors&gt;&lt;titles&gt;&lt;title&gt;Fluorescence spectroscopy and multi-way techniques. PARAFAC&lt;/title&gt;&lt;secondary-title&gt;Analytical Methods&lt;/secondary-title&gt;&lt;/titles&gt;&lt;periodical&gt;&lt;full-title&gt;Analytical Methods&lt;/full-title&gt;&lt;/periodical&gt;&lt;pages&gt;6557-6566&lt;/pages&gt;&lt;volume&gt;5&lt;/volume&gt;&lt;number&gt;23&lt;/number&gt;&lt;dates&gt;&lt;year&gt;2013&lt;/year&gt;&lt;/dates&gt;&lt;publisher&gt;The Royal Society of Chemistry&lt;/publisher&gt;&lt;isbn&gt;1759-9660&lt;/isbn&gt;&lt;work-type&gt;10.1039/C3AY41160E&lt;/work-type&gt;&lt;urls&gt;&lt;related-urls&gt;&lt;url&gt;http://dx.doi.org/10.1039/C3AY41160E&lt;/url&gt;&lt;/related-urls&gt;&lt;/urls&gt;&lt;electronic-resource-num&gt;10.1039/c3ay41160e&lt;/electronic-resource-num&gt;&lt;/record&gt;&lt;/Cite&gt;&lt;/EndNote&gt;</w:instrText>
            </w:r>
            <w:r w:rsidR="00783BC1" w:rsidRPr="00E4456A">
              <w:rPr>
                <w:rFonts w:ascii="Times New Roman" w:hAnsi="Times New Roman"/>
              </w:rPr>
              <w:fldChar w:fldCharType="separate"/>
            </w:r>
            <w:r w:rsidRPr="00E4456A">
              <w:rPr>
                <w:rFonts w:ascii="Times New Roman" w:hAnsi="Times New Roman"/>
                <w:noProof/>
              </w:rPr>
              <w:t>Murphy et al. (2013)</w:t>
            </w:r>
            <w:r w:rsidR="00783BC1" w:rsidRPr="00E4456A">
              <w:rPr>
                <w:rFonts w:ascii="Times New Roman" w:hAnsi="Times New Roman"/>
              </w:rPr>
              <w:fldChar w:fldCharType="end"/>
            </w:r>
            <w:r w:rsidRPr="00E4456A">
              <w:rPr>
                <w:rFonts w:ascii="Times New Roman" w:hAnsi="Times New Roman"/>
              </w:rPr>
              <w:t xml:space="preserve">. We corrected EEMs for Raman and Rayleigh scattering and inner filter effects, and standardized fluorescence to Raman units using the </w:t>
            </w:r>
            <w:proofErr w:type="spellStart"/>
            <w:r w:rsidRPr="00E4456A">
              <w:rPr>
                <w:rFonts w:ascii="Times New Roman" w:hAnsi="Times New Roman"/>
              </w:rPr>
              <w:t>FDOMcorr</w:t>
            </w:r>
            <w:proofErr w:type="spellEnd"/>
            <w:r w:rsidRPr="00E4456A">
              <w:rPr>
                <w:rFonts w:ascii="Times New Roman" w:hAnsi="Times New Roman"/>
              </w:rPr>
              <w:t xml:space="preserve"> 1.4 toolbox </w:t>
            </w:r>
            <w:r w:rsidR="00783BC1" w:rsidRPr="00E4456A">
              <w:rPr>
                <w:rFonts w:ascii="Times New Roman" w:hAnsi="Times New Roman"/>
              </w:rPr>
              <w:fldChar w:fldCharType="begin"/>
            </w:r>
            <w:r w:rsidRPr="00E4456A">
              <w:rPr>
                <w:rFonts w:ascii="Times New Roman" w:hAnsi="Times New Roman"/>
              </w:rPr>
              <w:instrText xml:space="preserve"> ADDIN EN.CITE &lt;EndNote&gt;&lt;Cite&gt;&lt;Author&gt;Murphy&lt;/Author&gt;&lt;Year&gt;2010&lt;/Year&gt;&lt;RecNum&gt;608&lt;/RecNum&gt;&lt;DisplayText&gt;(Murphy et al. 2010)&lt;/DisplayText&gt;&lt;record&gt;&lt;rec-number&gt;608&lt;/rec-number&gt;&lt;foreign-keys&gt;&lt;key app="EN" db-id="spap5xdperdt93e5evapza9wrdsdz9speffv" timestamp="1484938122"&gt;608&lt;/key&gt;&lt;/foreign-keys&gt;&lt;ref-type name="Journal Article"&gt;17&lt;/ref-type&gt;&lt;contributors&gt;&lt;authors&gt;&lt;author&gt;Murphy, Kathleen R.&lt;/author&gt;&lt;author&gt;Butler, Kenna D.&lt;/author&gt;&lt;author&gt;Spencer, Robert G. M.&lt;/author&gt;&lt;author&gt;Stedmon, Colin A.&lt;/author&gt;&lt;author&gt;Boehme, Jennifer R.&lt;/author&gt;&lt;author&gt;Aiken, George R.&lt;/author&gt;&lt;/authors&gt;&lt;/contributors&gt;&lt;titles&gt;&lt;title&gt;Measurement of dissolved organic matter fluorescence in aquatic environments: An interlaboratory comparison&lt;/title&gt;&lt;secondary-title&gt;Environmental Science &amp;amp; Technology&lt;/secondary-title&gt;&lt;/titles&gt;&lt;periodical&gt;&lt;full-title&gt;Environmental Science &amp;amp; Technology&lt;/full-title&gt;&lt;/periodical&gt;&lt;pages&gt;9405-9412&lt;/pages&gt;&lt;volume&gt;44&lt;/volume&gt;&lt;number&gt;24&lt;/number&gt;&lt;dates&gt;&lt;year&gt;2010&lt;/year&gt;&lt;pub-dates&gt;&lt;date&gt;2010/12/15&lt;/date&gt;&lt;/pub-dates&gt;&lt;/dates&gt;&lt;publisher&gt;American Chemical Society&lt;/publisher&gt;&lt;isbn&gt;0013-936X&lt;/isbn&gt;&lt;urls&gt;&lt;related-urls&gt;&lt;url&gt;http://dx.doi.org/10.1021/es102362t&lt;/url&gt;&lt;/related-urls&gt;&lt;/urls&gt;&lt;electronic-resource-num&gt;10.1021/es102362t&lt;/electronic-resource-num&gt;&lt;/record&gt;&lt;/Cite&gt;&lt;/EndNote&gt;</w:instrText>
            </w:r>
            <w:r w:rsidR="00783BC1" w:rsidRPr="00E4456A">
              <w:rPr>
                <w:rFonts w:ascii="Times New Roman" w:hAnsi="Times New Roman"/>
              </w:rPr>
              <w:fldChar w:fldCharType="separate"/>
            </w:r>
            <w:r w:rsidRPr="00E4456A">
              <w:rPr>
                <w:rFonts w:ascii="Times New Roman" w:hAnsi="Times New Roman"/>
                <w:noProof/>
              </w:rPr>
              <w:t>(Murphy et al. 2010)</w:t>
            </w:r>
            <w:r w:rsidR="00783BC1" w:rsidRPr="00E4456A">
              <w:rPr>
                <w:rFonts w:ascii="Times New Roman" w:hAnsi="Times New Roman"/>
              </w:rPr>
              <w:fldChar w:fldCharType="end"/>
            </w:r>
            <w:r w:rsidRPr="00E4456A">
              <w:rPr>
                <w:rFonts w:ascii="Times New Roman" w:hAnsi="Times New Roman"/>
              </w:rPr>
              <w:t xml:space="preserve">. The model was performed on corrected EEMs and validated by split-half analysis using the </w:t>
            </w:r>
            <w:proofErr w:type="spellStart"/>
            <w:r w:rsidRPr="00E4456A">
              <w:rPr>
                <w:rFonts w:ascii="Times New Roman" w:hAnsi="Times New Roman"/>
              </w:rPr>
              <w:t>drEEM</w:t>
            </w:r>
            <w:proofErr w:type="spellEnd"/>
            <w:r w:rsidRPr="00E4456A">
              <w:rPr>
                <w:rFonts w:ascii="Times New Roman" w:hAnsi="Times New Roman"/>
              </w:rPr>
              <w:t xml:space="preserve"> toolbox from </w:t>
            </w:r>
            <w:r w:rsidR="00783BC1" w:rsidRPr="00E4456A">
              <w:rPr>
                <w:rFonts w:ascii="Times New Roman" w:hAnsi="Times New Roman"/>
              </w:rPr>
              <w:fldChar w:fldCharType="begin"/>
            </w:r>
            <w:r w:rsidRPr="00E4456A">
              <w:rPr>
                <w:rFonts w:ascii="Times New Roman" w:hAnsi="Times New Roman"/>
              </w:rPr>
              <w:instrText xml:space="preserve"> ADDIN EN.CITE &lt;EndNote&gt;&lt;Cite AuthorYear="1"&gt;&lt;Author&gt;Murphy&lt;/Author&gt;&lt;Year&gt;2013&lt;/Year&gt;&lt;RecNum&gt;609&lt;/RecNum&gt;&lt;DisplayText&gt;Murphy et al. (2013)&lt;/DisplayText&gt;&lt;record&gt;&lt;rec-number&gt;609&lt;/rec-number&gt;&lt;foreign-keys&gt;&lt;key app="EN" db-id="spap5xdperdt93e5evapza9wrdsdz9speffv" timestamp="1484938153"&gt;609&lt;/key&gt;&lt;/foreign-keys&gt;&lt;ref-type name="Journal Article"&gt;17&lt;/ref-type&gt;&lt;contributors&gt;&lt;authors&gt;&lt;author&gt;Murphy, Kathleen R.&lt;/author&gt;&lt;author&gt;Stedmon, Colin A.&lt;/author&gt;&lt;author&gt;Graeber, Daniel&lt;/author&gt;&lt;author&gt;Bro, Rasmus&lt;/author&gt;&lt;/authors&gt;&lt;/contributors&gt;&lt;titles&gt;&lt;title&gt;Fluorescence spectroscopy and multi-way techniques. PARAFAC&lt;/title&gt;&lt;secondary-title&gt;Analytical Methods&lt;/secondary-title&gt;&lt;/titles&gt;&lt;periodical&gt;&lt;full-title&gt;Analytical Methods&lt;/full-title&gt;&lt;/periodical&gt;&lt;pages&gt;6557-6566&lt;/pages&gt;&lt;volume&gt;5&lt;/volume&gt;&lt;number&gt;23&lt;/number&gt;&lt;dates&gt;&lt;year&gt;2013&lt;/year&gt;&lt;/dates&gt;&lt;publisher&gt;The Royal Society of Chemistry&lt;/publisher&gt;&lt;isbn&gt;1759-9660&lt;/isbn&gt;&lt;work-type&gt;10.1039/C3AY41160E&lt;/work-type&gt;&lt;urls&gt;&lt;related-urls&gt;&lt;url&gt;http://dx.doi.org/10.1039/C3AY41160E&lt;/url&gt;&lt;/related-urls&gt;&lt;/urls&gt;&lt;electronic-resource-num&gt;10.1039/c3ay41160e&lt;/electronic-resource-num&gt;&lt;/record&gt;&lt;/Cite&gt;&lt;/EndNote&gt;</w:instrText>
            </w:r>
            <w:r w:rsidR="00783BC1" w:rsidRPr="00E4456A">
              <w:rPr>
                <w:rFonts w:ascii="Times New Roman" w:hAnsi="Times New Roman"/>
              </w:rPr>
              <w:fldChar w:fldCharType="separate"/>
            </w:r>
            <w:r w:rsidRPr="00E4456A">
              <w:rPr>
                <w:rFonts w:ascii="Times New Roman" w:hAnsi="Times New Roman"/>
                <w:noProof/>
              </w:rPr>
              <w:t>Murphy et al. (2013)</w:t>
            </w:r>
            <w:r w:rsidR="00783BC1" w:rsidRPr="00E4456A">
              <w:rPr>
                <w:rFonts w:ascii="Times New Roman" w:hAnsi="Times New Roman"/>
              </w:rPr>
              <w:fldChar w:fldCharType="end"/>
            </w:r>
            <w:r w:rsidRPr="00E4456A">
              <w:rPr>
                <w:rFonts w:ascii="Times New Roman" w:hAnsi="Times New Roman"/>
              </w:rPr>
              <w:t>. For each sample, we summed the maximum fluorescence [</w:t>
            </w:r>
            <w:proofErr w:type="spellStart"/>
            <w:r w:rsidRPr="00E4456A">
              <w:rPr>
                <w:rFonts w:ascii="Times New Roman" w:hAnsi="Times New Roman"/>
                <w:b/>
              </w:rPr>
              <w:t>Cx</w:t>
            </w:r>
            <w:proofErr w:type="spellEnd"/>
            <w:r w:rsidRPr="00E4456A">
              <w:rPr>
                <w:rFonts w:ascii="Times New Roman" w:hAnsi="Times New Roman"/>
              </w:rPr>
              <w:t>] of the different components x to determine the total fluorescence (F</w:t>
            </w:r>
            <w:r w:rsidRPr="00E4456A">
              <w:rPr>
                <w:rFonts w:ascii="Times New Roman" w:hAnsi="Times New Roman"/>
                <w:vertAlign w:val="subscript"/>
              </w:rPr>
              <w:t>T</w:t>
            </w:r>
            <w:r w:rsidRPr="00E4456A">
              <w:rPr>
                <w:rFonts w:ascii="Times New Roman" w:hAnsi="Times New Roman"/>
              </w:rPr>
              <w:t>) and calculated the relative abundance</w:t>
            </w:r>
            <w:r w:rsidR="00E4456A">
              <w:rPr>
                <w:rFonts w:ascii="Times New Roman" w:hAnsi="Times New Roman"/>
              </w:rPr>
              <w:t xml:space="preserve"> (</w:t>
            </w:r>
            <w:r w:rsidR="00E4456A" w:rsidRPr="00E4456A">
              <w:rPr>
                <w:rFonts w:ascii="Times New Roman" w:hAnsi="Times New Roman"/>
                <w:b/>
              </w:rPr>
              <w:t>%</w:t>
            </w:r>
            <w:proofErr w:type="spellStart"/>
            <w:r w:rsidR="00E4456A" w:rsidRPr="00E4456A">
              <w:rPr>
                <w:rFonts w:ascii="Times New Roman" w:hAnsi="Times New Roman"/>
                <w:b/>
              </w:rPr>
              <w:t>Cx</w:t>
            </w:r>
            <w:proofErr w:type="spellEnd"/>
            <w:r w:rsidR="00E4456A">
              <w:rPr>
                <w:rFonts w:ascii="Times New Roman" w:hAnsi="Times New Roman"/>
              </w:rPr>
              <w:t>)</w:t>
            </w:r>
            <w:r w:rsidRPr="00E4456A">
              <w:rPr>
                <w:rFonts w:ascii="Times New Roman" w:hAnsi="Times New Roman"/>
              </w:rPr>
              <w:t xml:space="preserve"> of any component x, according to the following equation:</w:t>
            </w:r>
          </w:p>
          <w:p w:rsidR="00903AAA" w:rsidRPr="00C27E22" w:rsidRDefault="00903AAA" w:rsidP="005875B4">
            <w:pPr>
              <w:keepNext/>
              <w:tabs>
                <w:tab w:val="right" w:pos="8647"/>
              </w:tabs>
              <w:autoSpaceDE w:val="0"/>
              <w:autoSpaceDN w:val="0"/>
              <w:adjustRightInd w:val="0"/>
              <w:spacing w:before="120" w:after="120" w:line="240" w:lineRule="auto"/>
              <w:ind w:firstLine="567"/>
              <w:jc w:val="both"/>
              <w:rPr>
                <w:rFonts w:ascii="Times New Roman" w:hAnsi="Times New Roman"/>
              </w:rPr>
            </w:pPr>
            <m:oMath>
              <m:r>
                <m:rPr>
                  <m:nor/>
                </m:rPr>
                <w:rPr>
                  <w:rFonts w:ascii="Cambria Math" w:hAnsi="Cambria Math"/>
                </w:rPr>
                <m:t>%</m:t>
              </m:r>
              <w:proofErr w:type="spellStart"/>
              <m:r>
                <m:rPr>
                  <m:nor/>
                </m:rPr>
                <w:rPr>
                  <w:rFonts w:ascii="Cambria Math" w:hAnsi="Cambria Math"/>
                </w:rPr>
                <m:t>Cx</m:t>
              </m:r>
              <w:proofErr w:type="spellEnd"/>
              <m:r>
                <m:rPr>
                  <m:nor/>
                </m:rPr>
                <w:rPr>
                  <w:rFonts w:ascii="Cambria Math" w:hAnsi="Cambria Math"/>
                </w:rPr>
                <m:t xml:space="preserve"> = ([</m:t>
              </m:r>
              <w:proofErr w:type="spellStart"/>
              <m:r>
                <m:rPr>
                  <m:nor/>
                </m:rPr>
                <w:rPr>
                  <w:rFonts w:ascii="Cambria Math" w:hAnsi="Cambria Math"/>
                </w:rPr>
                <m:t>Cx</m:t>
              </m:r>
              <w:proofErr w:type="spellEnd"/>
              <m:r>
                <m:rPr>
                  <m:nor/>
                </m:rPr>
                <w:rPr>
                  <w:rFonts w:ascii="Cambria Math" w:hAnsi="Cambria Math"/>
                </w:rPr>
                <m:t xml:space="preserve">]/ </m:t>
              </m:r>
              <m:sSub>
                <m:sSubPr>
                  <m:ctrlPr>
                    <w:rPr>
                      <w:rFonts w:ascii="Cambria Math" w:hAnsi="Cambria Math"/>
                      <w:i/>
                    </w:rPr>
                  </m:ctrlPr>
                </m:sSubPr>
                <m:e>
                  <m:r>
                    <m:rPr>
                      <m:nor/>
                    </m:rPr>
                    <w:rPr>
                      <w:rFonts w:ascii="Cambria Math" w:hAnsi="Cambria Math"/>
                    </w:rPr>
                    <m:t>F</m:t>
                  </m:r>
                </m:e>
                <m:sub>
                  <m:r>
                    <m:rPr>
                      <m:nor/>
                    </m:rPr>
                    <w:rPr>
                      <w:rFonts w:ascii="Cambria Math" w:hAnsi="Cambria Math"/>
                    </w:rPr>
                    <m:t>T</m:t>
                  </m:r>
                </m:sub>
              </m:sSub>
              <m:r>
                <m:rPr>
                  <m:nor/>
                </m:rPr>
                <w:rPr>
                  <w:rFonts w:ascii="Cambria Math" w:hAnsi="Cambria Math"/>
                </w:rPr>
                <m:t xml:space="preserve">) × 100 </m:t>
              </m:r>
            </m:oMath>
            <w:r w:rsidRPr="00C27E22">
              <w:rPr>
                <w:rFonts w:ascii="Times New Roman" w:hAnsi="Times New Roman"/>
              </w:rPr>
              <w:tab/>
              <w:t>(3)</w:t>
            </w:r>
          </w:p>
          <w:p w:rsidR="006D7B11" w:rsidRPr="005875B4" w:rsidRDefault="00E4456A" w:rsidP="00031BCF">
            <w:pPr>
              <w:spacing w:before="240" w:after="120" w:line="240" w:lineRule="auto"/>
              <w:rPr>
                <w:rFonts w:ascii="Times New Roman" w:hAnsi="Times New Roman"/>
                <w:b/>
                <w:sz w:val="24"/>
              </w:rPr>
            </w:pPr>
            <w:r w:rsidRPr="005875B4">
              <w:rPr>
                <w:rFonts w:ascii="Times New Roman" w:hAnsi="Times New Roman"/>
                <w:b/>
                <w:sz w:val="24"/>
              </w:rPr>
              <w:t>Spectro_Scans_Raw_800-0.4-250.4.</w:t>
            </w:r>
            <w:r w:rsidR="005A45DB">
              <w:rPr>
                <w:rFonts w:ascii="Times New Roman" w:hAnsi="Times New Roman"/>
                <w:b/>
                <w:sz w:val="24"/>
              </w:rPr>
              <w:t>csv</w:t>
            </w:r>
            <w:r w:rsidR="005875B4" w:rsidRPr="005875B4">
              <w:rPr>
                <w:rFonts w:ascii="Times New Roman" w:hAnsi="Times New Roman"/>
                <w:b/>
                <w:sz w:val="24"/>
              </w:rPr>
              <w:t>, Spectro_Scans_Raw_800-1-250.</w:t>
            </w:r>
            <w:r w:rsidR="005A45DB">
              <w:rPr>
                <w:rFonts w:ascii="Times New Roman" w:hAnsi="Times New Roman"/>
                <w:b/>
                <w:sz w:val="24"/>
              </w:rPr>
              <w:t>csv</w:t>
            </w:r>
            <w:r w:rsidR="005875B4">
              <w:rPr>
                <w:rFonts w:ascii="Times New Roman" w:hAnsi="Times New Roman"/>
                <w:b/>
                <w:sz w:val="24"/>
              </w:rPr>
              <w:t xml:space="preserve"> and </w:t>
            </w:r>
            <w:r w:rsidR="005875B4" w:rsidRPr="005875B4">
              <w:rPr>
                <w:rFonts w:ascii="Times New Roman" w:hAnsi="Times New Roman"/>
                <w:b/>
                <w:sz w:val="24"/>
              </w:rPr>
              <w:t>Spectro_Scans_Raw_800-2-2</w:t>
            </w:r>
            <w:r w:rsidR="00A37E03">
              <w:rPr>
                <w:rFonts w:ascii="Times New Roman" w:hAnsi="Times New Roman"/>
                <w:b/>
                <w:sz w:val="24"/>
              </w:rPr>
              <w:t>5</w:t>
            </w:r>
            <w:r w:rsidR="005875B4" w:rsidRPr="005875B4">
              <w:rPr>
                <w:rFonts w:ascii="Times New Roman" w:hAnsi="Times New Roman"/>
                <w:b/>
                <w:sz w:val="24"/>
              </w:rPr>
              <w:t>0.</w:t>
            </w:r>
            <w:r w:rsidR="005A45DB">
              <w:rPr>
                <w:rFonts w:ascii="Times New Roman" w:hAnsi="Times New Roman"/>
                <w:b/>
                <w:sz w:val="24"/>
              </w:rPr>
              <w:t>csv</w:t>
            </w:r>
          </w:p>
          <w:p w:rsidR="00031BCF" w:rsidRDefault="005875B4" w:rsidP="00031BCF">
            <w:pPr>
              <w:spacing w:before="120" w:after="120" w:line="240" w:lineRule="auto"/>
              <w:jc w:val="both"/>
              <w:rPr>
                <w:rFonts w:ascii="Times New Roman" w:hAnsi="Times New Roman"/>
              </w:rPr>
            </w:pPr>
            <w:r>
              <w:rPr>
                <w:rFonts w:ascii="Times New Roman" w:hAnsi="Times New Roman"/>
              </w:rPr>
              <w:t xml:space="preserve">These three datasets include the </w:t>
            </w:r>
            <w:r w:rsidRPr="00031BCF">
              <w:rPr>
                <w:rFonts w:ascii="Times New Roman" w:hAnsi="Times New Roman"/>
                <w:b/>
              </w:rPr>
              <w:t xml:space="preserve">raw </w:t>
            </w:r>
            <w:r w:rsidR="00031BCF" w:rsidRPr="00031BCF">
              <w:rPr>
                <w:rFonts w:ascii="Times New Roman" w:hAnsi="Times New Roman"/>
                <w:b/>
              </w:rPr>
              <w:t>absorbance</w:t>
            </w:r>
            <w:r w:rsidR="00D36C65" w:rsidRPr="00031BCF">
              <w:rPr>
                <w:rFonts w:ascii="Times New Roman" w:hAnsi="Times New Roman"/>
                <w:b/>
              </w:rPr>
              <w:t xml:space="preserve"> </w:t>
            </w:r>
            <w:r w:rsidR="00031BCF" w:rsidRPr="00031BCF">
              <w:rPr>
                <w:rFonts w:ascii="Times New Roman" w:hAnsi="Times New Roman"/>
                <w:b/>
              </w:rPr>
              <w:t>data</w:t>
            </w:r>
            <w:r w:rsidR="00D36C65">
              <w:rPr>
                <w:rFonts w:ascii="Times New Roman" w:hAnsi="Times New Roman"/>
              </w:rPr>
              <w:t xml:space="preserve"> obtained by </w:t>
            </w:r>
            <w:r w:rsidR="00031BCF">
              <w:rPr>
                <w:rFonts w:ascii="Times New Roman" w:hAnsi="Times New Roman"/>
              </w:rPr>
              <w:t>spectrophotometric scans of DOM samples (</w:t>
            </w:r>
            <w:r w:rsidR="00031BCF" w:rsidRPr="00E4456A">
              <w:rPr>
                <w:rFonts w:ascii="Times New Roman" w:hAnsi="Times New Roman"/>
              </w:rPr>
              <w:t>CDOM absorbance between 250 and 800 nm</w:t>
            </w:r>
            <w:r w:rsidR="00031BCF">
              <w:rPr>
                <w:rFonts w:ascii="Times New Roman" w:hAnsi="Times New Roman"/>
              </w:rPr>
              <w:t xml:space="preserve">, see above). You are thus able to calculate the different spectrophotometric indexes with the original raw data. Note that we already have subtracted the blank spectrum. The raw scans are divided in three </w:t>
            </w:r>
            <w:r w:rsidR="00031BCF" w:rsidRPr="00031BCF">
              <w:rPr>
                <w:rFonts w:ascii="Times New Roman" w:hAnsi="Times New Roman"/>
                <w:i/>
              </w:rPr>
              <w:t>.</w:t>
            </w:r>
            <w:proofErr w:type="spellStart"/>
            <w:r w:rsidR="00A27683">
              <w:rPr>
                <w:rFonts w:ascii="Times New Roman" w:hAnsi="Times New Roman"/>
                <w:i/>
              </w:rPr>
              <w:t>csv</w:t>
            </w:r>
            <w:proofErr w:type="spellEnd"/>
            <w:r w:rsidR="00031BCF">
              <w:rPr>
                <w:rFonts w:ascii="Times New Roman" w:hAnsi="Times New Roman"/>
              </w:rPr>
              <w:t xml:space="preserve"> files, depending of the</w:t>
            </w:r>
            <w:r w:rsidR="00F54C3E">
              <w:rPr>
                <w:rFonts w:ascii="Times New Roman" w:hAnsi="Times New Roman"/>
              </w:rPr>
              <w:t xml:space="preserve"> </w:t>
            </w:r>
            <w:r w:rsidR="00031BCF">
              <w:rPr>
                <w:rFonts w:ascii="Times New Roman" w:hAnsi="Times New Roman"/>
              </w:rPr>
              <w:t xml:space="preserve">increments </w:t>
            </w:r>
            <w:r w:rsidR="00381ACA">
              <w:rPr>
                <w:rFonts w:ascii="Times New Roman" w:hAnsi="Times New Roman"/>
              </w:rPr>
              <w:t xml:space="preserve">used </w:t>
            </w:r>
            <w:r w:rsidR="00031BCF">
              <w:rPr>
                <w:rFonts w:ascii="Times New Roman" w:hAnsi="Times New Roman"/>
              </w:rPr>
              <w:t>(0.4, 1 and 2 nm, respectively).</w:t>
            </w:r>
          </w:p>
          <w:p w:rsidR="00031BCF" w:rsidRPr="00031BCF" w:rsidRDefault="00031BCF" w:rsidP="00031BCF">
            <w:pPr>
              <w:spacing w:before="240" w:after="120" w:line="240" w:lineRule="auto"/>
              <w:jc w:val="both"/>
              <w:rPr>
                <w:rFonts w:ascii="Times New Roman" w:hAnsi="Times New Roman"/>
                <w:sz w:val="24"/>
              </w:rPr>
            </w:pPr>
            <w:r w:rsidRPr="00031BCF">
              <w:rPr>
                <w:rFonts w:ascii="Times New Roman" w:hAnsi="Times New Roman"/>
                <w:b/>
                <w:sz w:val="24"/>
              </w:rPr>
              <w:t>SIA_Data.</w:t>
            </w:r>
            <w:r w:rsidR="005A45DB">
              <w:rPr>
                <w:rFonts w:ascii="Times New Roman" w:hAnsi="Times New Roman"/>
                <w:b/>
                <w:sz w:val="24"/>
              </w:rPr>
              <w:t>csv</w:t>
            </w:r>
          </w:p>
          <w:p w:rsidR="00551551" w:rsidRPr="00A03904" w:rsidRDefault="00031BCF" w:rsidP="00A03904">
            <w:pPr>
              <w:spacing w:before="120" w:after="120" w:line="240" w:lineRule="auto"/>
              <w:jc w:val="both"/>
              <w:rPr>
                <w:rFonts w:ascii="Times New Roman" w:hAnsi="Times New Roman"/>
              </w:rPr>
            </w:pPr>
            <w:r w:rsidRPr="00031BCF">
              <w:rPr>
                <w:rFonts w:ascii="Times New Roman" w:hAnsi="Times New Roman"/>
              </w:rPr>
              <w:t>To quantify the relative contribution of terrestrial carbon between pond types, we carried out stable isotope analyses (</w:t>
            </w:r>
            <w:r w:rsidRPr="00A03904">
              <w:rPr>
                <w:rFonts w:ascii="Times New Roman" w:hAnsi="Times New Roman"/>
                <w:b/>
              </w:rPr>
              <w:t>SIA</w:t>
            </w:r>
            <w:r w:rsidRPr="00031BCF">
              <w:rPr>
                <w:rFonts w:ascii="Times New Roman" w:hAnsi="Times New Roman"/>
              </w:rPr>
              <w:t xml:space="preserve">) on surface DOM and its potential sources in a subsample of 10 ponds in the vicinity of Kuujjuarapik, subarctic Quebec. In addition to collecting soils surrounding ponds, DOM, benthic bulk material and seston were sampled in bedrock and tundra water bodies for </w:t>
            </w:r>
            <w:r w:rsidR="00551551" w:rsidRPr="00A03904">
              <w:rPr>
                <w:rFonts w:ascii="Times New Roman" w:hAnsi="Times New Roman"/>
                <w:b/>
              </w:rPr>
              <w:t>d13</w:t>
            </w:r>
            <w:r w:rsidRPr="00A03904">
              <w:rPr>
                <w:rFonts w:ascii="Times New Roman" w:hAnsi="Times New Roman"/>
                <w:b/>
              </w:rPr>
              <w:t>C</w:t>
            </w:r>
            <w:r w:rsidRPr="00031BCF">
              <w:rPr>
                <w:rFonts w:ascii="Times New Roman" w:hAnsi="Times New Roman"/>
              </w:rPr>
              <w:t xml:space="preserve"> and </w:t>
            </w:r>
            <w:r w:rsidR="00551551" w:rsidRPr="00A03904">
              <w:rPr>
                <w:rFonts w:ascii="Times New Roman" w:hAnsi="Times New Roman"/>
                <w:b/>
              </w:rPr>
              <w:t>d2</w:t>
            </w:r>
            <w:r w:rsidRPr="00A03904">
              <w:rPr>
                <w:rFonts w:ascii="Times New Roman" w:hAnsi="Times New Roman"/>
                <w:b/>
              </w:rPr>
              <w:t>H</w:t>
            </w:r>
            <w:r w:rsidRPr="00031BCF">
              <w:rPr>
                <w:rFonts w:ascii="Times New Roman" w:hAnsi="Times New Roman"/>
              </w:rPr>
              <w:t xml:space="preserve"> analyses. </w:t>
            </w:r>
            <w:r w:rsidR="00551551">
              <w:rPr>
                <w:rFonts w:ascii="Times New Roman" w:hAnsi="Times New Roman"/>
              </w:rPr>
              <w:t xml:space="preserve">In thaw ponds, the same materials were sampled, except the </w:t>
            </w:r>
            <w:r w:rsidR="00551551" w:rsidRPr="00A03904">
              <w:rPr>
                <w:rFonts w:ascii="Times New Roman" w:hAnsi="Times New Roman"/>
              </w:rPr>
              <w:t>benthic bulk which was replaced by macrophytes.</w:t>
            </w:r>
          </w:p>
          <w:p w:rsidR="00D36C65" w:rsidRPr="00031BCF" w:rsidRDefault="00A03904" w:rsidP="00AB360F">
            <w:pPr>
              <w:spacing w:before="120" w:after="120" w:line="240" w:lineRule="auto"/>
              <w:jc w:val="both"/>
              <w:rPr>
                <w:rFonts w:ascii="Times New Roman" w:hAnsi="Times New Roman"/>
                <w:i/>
                <w:highlight w:val="yellow"/>
              </w:rPr>
            </w:pPr>
            <w:r w:rsidRPr="00A03904">
              <w:rPr>
                <w:rFonts w:ascii="Times New Roman" w:hAnsi="Times New Roman"/>
              </w:rPr>
              <w:t xml:space="preserve">For </w:t>
            </w:r>
            <w:r w:rsidRPr="00AB360F">
              <w:rPr>
                <w:rFonts w:ascii="Times New Roman" w:hAnsi="Times New Roman"/>
              </w:rPr>
              <w:t>DOM</w:t>
            </w:r>
            <w:r w:rsidRPr="00A03904">
              <w:rPr>
                <w:rFonts w:ascii="Times New Roman" w:hAnsi="Times New Roman"/>
              </w:rPr>
              <w:t xml:space="preserve"> samples, we filtered surface water through pre-rinsed cellulose acetate filters (0.2 </w:t>
            </w:r>
            <w:r w:rsidRPr="00A03904">
              <w:rPr>
                <w:rFonts w:ascii="Times New Roman" w:hAnsi="Times New Roman"/>
                <w:lang w:val="fr-CA"/>
              </w:rPr>
              <w:t>μ</w:t>
            </w:r>
            <w:r w:rsidRPr="00A03904">
              <w:rPr>
                <w:rFonts w:ascii="Times New Roman" w:hAnsi="Times New Roman"/>
              </w:rPr>
              <w:t>m)</w:t>
            </w:r>
            <w:r>
              <w:rPr>
                <w:rFonts w:ascii="Times New Roman" w:hAnsi="Times New Roman"/>
              </w:rPr>
              <w:t>, as for DOC and CDOM analyses</w:t>
            </w:r>
            <w:r w:rsidRPr="00A03904">
              <w:rPr>
                <w:rFonts w:ascii="Times New Roman" w:hAnsi="Times New Roman"/>
              </w:rPr>
              <w:t xml:space="preserve">. </w:t>
            </w:r>
            <w:r w:rsidR="00031BCF" w:rsidRPr="00AB360F">
              <w:rPr>
                <w:rFonts w:ascii="Times New Roman" w:hAnsi="Times New Roman"/>
              </w:rPr>
              <w:t>Soil</w:t>
            </w:r>
            <w:r w:rsidR="00031BCF" w:rsidRPr="00A03904">
              <w:rPr>
                <w:rFonts w:ascii="Times New Roman" w:hAnsi="Times New Roman"/>
              </w:rPr>
              <w:t xml:space="preserve"> samples</w:t>
            </w:r>
            <w:r w:rsidR="00031BCF" w:rsidRPr="00031BCF">
              <w:rPr>
                <w:rFonts w:ascii="Times New Roman" w:hAnsi="Times New Roman"/>
              </w:rPr>
              <w:t xml:space="preserve"> were collected </w:t>
            </w:r>
            <w:r w:rsidR="00031BCF" w:rsidRPr="00AB360F">
              <w:rPr>
                <w:rFonts w:ascii="Times New Roman" w:hAnsi="Times New Roman"/>
              </w:rPr>
              <w:t xml:space="preserve">from the top layer (0-5 cm) close to the ponds. In order to remove the carbonate, we applied an acid fumigation to the soil samples during 96h prior the </w:t>
            </w:r>
            <w:r w:rsidR="00551551" w:rsidRPr="00AB360F">
              <w:rPr>
                <w:rFonts w:ascii="Times New Roman" w:hAnsi="Times New Roman"/>
              </w:rPr>
              <w:t>d13C</w:t>
            </w:r>
            <w:r w:rsidR="00031BCF" w:rsidRPr="00AB360F">
              <w:rPr>
                <w:rFonts w:ascii="Times New Roman" w:hAnsi="Times New Roman"/>
              </w:rPr>
              <w:t xml:space="preserve"> analyses, as described in </w:t>
            </w:r>
            <w:r w:rsidR="00783BC1" w:rsidRPr="00AB360F">
              <w:rPr>
                <w:rFonts w:ascii="Times New Roman" w:hAnsi="Times New Roman"/>
              </w:rPr>
              <w:fldChar w:fldCharType="begin"/>
            </w:r>
            <w:r w:rsidR="00031BCF" w:rsidRPr="00AB360F">
              <w:rPr>
                <w:rFonts w:ascii="Times New Roman" w:hAnsi="Times New Roman"/>
              </w:rPr>
              <w:instrText xml:space="preserve"> ADDIN EN.CITE &lt;EndNote&gt;&lt;Cite AuthorYear="1"&gt;&lt;Author&gt;Ramnarine&lt;/Author&gt;&lt;Year&gt;2011&lt;/Year&gt;&lt;RecNum&gt;704&lt;/RecNum&gt;&lt;DisplayText&gt;Ramnarine et al. (2011)&lt;/DisplayText&gt;&lt;record&gt;&lt;rec-number&gt;704&lt;/rec-number&gt;&lt;foreign-keys&gt;&lt;key app="EN" db-id="spap5xdperdt93e5evapza9wrdsdz9speffv" timestamp="1494292492"&gt;704&lt;/key&gt;&lt;/foreign-keys&gt;&lt;ref-type name="Journal Article"&gt;17&lt;/ref-type&gt;&lt;contributors&gt;&lt;authors&gt;&lt;author&gt;Ramnarine, R.&lt;/author&gt;&lt;author&gt;Voroney, R. P.&lt;/author&gt;&lt;author&gt;Wagner-Riddle, C.&lt;/author&gt;&lt;author&gt;Dunfield, K. E.&lt;/author&gt;&lt;/authors&gt;&lt;/contributors&gt;&lt;titles&gt;&lt;title&gt;&lt;style face="normal" font="default" size="100%"&gt;Carbonate removal by acid fumigation for measuring the δ&lt;/style&gt;&lt;style face="superscript" font="default" size="100%"&gt;13&lt;/style&gt;&lt;style face="normal" font="default" size="100%"&gt;C of soil organic carbon&lt;/style&gt;&lt;/title&gt;&lt;secondary-title&gt;Canadian Journal of Soil Science&lt;/secondary-title&gt;&lt;/titles&gt;&lt;periodical&gt;&lt;full-title&gt;Canadian Journal of Soil Science&lt;/full-title&gt;&lt;/periodical&gt;&lt;pages&gt;247-250&lt;/pages&gt;&lt;volume&gt;91&lt;/volume&gt;&lt;number&gt;2&lt;/number&gt;&lt;dates&gt;&lt;year&gt;2011&lt;/year&gt;&lt;pub-dates&gt;&lt;date&gt;2011/05/01&lt;/date&gt;&lt;/pub-dates&gt;&lt;/dates&gt;&lt;publisher&gt;Canadian Science Publishing&lt;/publisher&gt;&lt;isbn&gt;0008-4271&lt;/isbn&gt;&lt;urls&gt;&lt;related-urls&gt;&lt;url&gt;http://www.bioone.org/doi/abs/10.1139/CJSS10066&lt;/url&gt;&lt;/related-urls&gt;&lt;/urls&gt;&lt;electronic-resource-num&gt;10.4141/CJSS10066&lt;/electronic-resource-num&gt;&lt;access-date&gt;2017/05/08&lt;/access-date&gt;&lt;/record&gt;&lt;/Cite&gt;&lt;/EndNote&gt;</w:instrText>
            </w:r>
            <w:r w:rsidR="00783BC1" w:rsidRPr="00AB360F">
              <w:rPr>
                <w:rFonts w:ascii="Times New Roman" w:hAnsi="Times New Roman"/>
              </w:rPr>
              <w:fldChar w:fldCharType="separate"/>
            </w:r>
            <w:r w:rsidR="00031BCF" w:rsidRPr="00AB360F">
              <w:rPr>
                <w:rFonts w:ascii="Times New Roman" w:hAnsi="Times New Roman"/>
                <w:noProof/>
              </w:rPr>
              <w:t>Ramnarine et al. (2011)</w:t>
            </w:r>
            <w:r w:rsidR="00783BC1" w:rsidRPr="00AB360F">
              <w:rPr>
                <w:rFonts w:ascii="Times New Roman" w:hAnsi="Times New Roman"/>
              </w:rPr>
              <w:fldChar w:fldCharType="end"/>
            </w:r>
            <w:r w:rsidR="00031BCF" w:rsidRPr="00AB360F">
              <w:rPr>
                <w:rFonts w:ascii="Times New Roman" w:hAnsi="Times New Roman"/>
              </w:rPr>
              <w:t xml:space="preserve">. </w:t>
            </w:r>
            <w:r w:rsidR="00AB360F" w:rsidRPr="00AB360F">
              <w:rPr>
                <w:rFonts w:ascii="Times New Roman" w:hAnsi="Times New Roman"/>
              </w:rPr>
              <w:t>Decaying submerged macrophytes (</w:t>
            </w:r>
            <w:proofErr w:type="spellStart"/>
            <w:r w:rsidR="00AB360F" w:rsidRPr="00AB360F">
              <w:rPr>
                <w:rFonts w:ascii="Times New Roman" w:hAnsi="Times New Roman"/>
                <w:i/>
              </w:rPr>
              <w:t>Carex</w:t>
            </w:r>
            <w:proofErr w:type="spellEnd"/>
            <w:r w:rsidR="00AB360F" w:rsidRPr="00AB360F">
              <w:rPr>
                <w:rFonts w:ascii="Times New Roman" w:hAnsi="Times New Roman"/>
              </w:rPr>
              <w:t xml:space="preserve"> sp.) were sampled from the edge of thaw ponds. In bedrock and tundra ponds, we sampled the surface of submerged rocks by scraping with a spatula to collect the epibenthic material</w:t>
            </w:r>
            <w:r w:rsidR="009A3BDF" w:rsidRPr="00AB360F">
              <w:rPr>
                <w:rFonts w:ascii="Times New Roman" w:hAnsi="Times New Roman"/>
              </w:rPr>
              <w:t>.</w:t>
            </w:r>
            <w:r w:rsidR="00031BCF" w:rsidRPr="00AB360F">
              <w:rPr>
                <w:rFonts w:ascii="Times New Roman" w:hAnsi="Times New Roman"/>
              </w:rPr>
              <w:t xml:space="preserve"> DOM samples were analyzed for </w:t>
            </w:r>
            <w:r w:rsidR="00551551" w:rsidRPr="00AB360F">
              <w:rPr>
                <w:rFonts w:ascii="Times New Roman" w:hAnsi="Times New Roman"/>
              </w:rPr>
              <w:t>d13C</w:t>
            </w:r>
            <w:r w:rsidR="00031BCF" w:rsidRPr="00AB360F">
              <w:rPr>
                <w:rFonts w:ascii="Times New Roman" w:hAnsi="Times New Roman"/>
              </w:rPr>
              <w:t xml:space="preserve"> using an Aurora 1030W TOC Analyzer (O.I. Corporation, College Station, TX) coupled to a </w:t>
            </w:r>
            <w:proofErr w:type="spellStart"/>
            <w:r w:rsidR="00031BCF" w:rsidRPr="00AB360F">
              <w:rPr>
                <w:rFonts w:ascii="Times New Roman" w:hAnsi="Times New Roman"/>
              </w:rPr>
              <w:t>Finnigan</w:t>
            </w:r>
            <w:proofErr w:type="spellEnd"/>
            <w:r w:rsidR="00031BCF" w:rsidRPr="00AB360F">
              <w:rPr>
                <w:rFonts w:ascii="Times New Roman" w:hAnsi="Times New Roman"/>
              </w:rPr>
              <w:t xml:space="preserve"> DELTA plus Advantage MS (Thermo Fisher Scientific, Waltham, MA) in the G.G. Hatch Stable</w:t>
            </w:r>
            <w:r w:rsidR="00031BCF" w:rsidRPr="00031BCF">
              <w:rPr>
                <w:rFonts w:ascii="Times New Roman" w:hAnsi="Times New Roman"/>
              </w:rPr>
              <w:t xml:space="preserve"> Isotope Laboratory (University of Ottawa, ON). The </w:t>
            </w:r>
            <w:r w:rsidR="00551551">
              <w:rPr>
                <w:rFonts w:ascii="Times New Roman" w:hAnsi="Times New Roman"/>
              </w:rPr>
              <w:t>d</w:t>
            </w:r>
            <w:r w:rsidR="00551551" w:rsidRPr="00551551">
              <w:rPr>
                <w:rFonts w:ascii="Times New Roman" w:hAnsi="Times New Roman"/>
              </w:rPr>
              <w:t>13</w:t>
            </w:r>
            <w:r w:rsidR="00551551" w:rsidRPr="00031BCF">
              <w:rPr>
                <w:rFonts w:ascii="Times New Roman" w:hAnsi="Times New Roman"/>
              </w:rPr>
              <w:t>C</w:t>
            </w:r>
            <w:r w:rsidR="00031BCF" w:rsidRPr="00031BCF">
              <w:rPr>
                <w:rFonts w:ascii="Times New Roman" w:hAnsi="Times New Roman"/>
              </w:rPr>
              <w:t xml:space="preserve"> analyses on soil and macrophyte samples were carried out using a FLASH 2000 OEA interfaced with a Delta V Plus MS (Thermo Fisher Scientific, Waltham, MA) in the RIVE Research Center (</w:t>
            </w:r>
            <w:proofErr w:type="spellStart"/>
            <w:r w:rsidR="00031BCF" w:rsidRPr="00031BCF">
              <w:rPr>
                <w:rFonts w:ascii="Times New Roman" w:hAnsi="Times New Roman"/>
              </w:rPr>
              <w:t>Université</w:t>
            </w:r>
            <w:proofErr w:type="spellEnd"/>
            <w:r w:rsidR="00031BCF" w:rsidRPr="00031BCF">
              <w:rPr>
                <w:rFonts w:ascii="Times New Roman" w:hAnsi="Times New Roman"/>
              </w:rPr>
              <w:t xml:space="preserve"> du Québec à </w:t>
            </w:r>
            <w:proofErr w:type="spellStart"/>
            <w:r w:rsidR="00031BCF" w:rsidRPr="00031BCF">
              <w:rPr>
                <w:rFonts w:ascii="Times New Roman" w:hAnsi="Times New Roman"/>
              </w:rPr>
              <w:t>Trois-Rivières</w:t>
            </w:r>
            <w:proofErr w:type="spellEnd"/>
            <w:r w:rsidR="00031BCF" w:rsidRPr="00031BCF">
              <w:rPr>
                <w:rFonts w:ascii="Times New Roman" w:hAnsi="Times New Roman"/>
              </w:rPr>
              <w:t xml:space="preserve">, QC). All </w:t>
            </w:r>
            <w:r w:rsidR="00551551">
              <w:rPr>
                <w:rFonts w:ascii="Times New Roman" w:hAnsi="Times New Roman"/>
              </w:rPr>
              <w:t>d2</w:t>
            </w:r>
            <w:r w:rsidR="00551551" w:rsidRPr="00031BCF">
              <w:rPr>
                <w:rFonts w:ascii="Times New Roman" w:hAnsi="Times New Roman"/>
              </w:rPr>
              <w:t>H</w:t>
            </w:r>
            <w:r w:rsidR="00031BCF" w:rsidRPr="00031BCF">
              <w:rPr>
                <w:rFonts w:ascii="Times New Roman" w:hAnsi="Times New Roman"/>
              </w:rPr>
              <w:t xml:space="preserve"> analyses were performed in the Colorado Plateau Stable Isotope Laboratory (Northern Arizona University, AZ) as</w:t>
            </w:r>
            <w:r w:rsidR="009A3BDF">
              <w:rPr>
                <w:rFonts w:ascii="Times New Roman" w:hAnsi="Times New Roman"/>
              </w:rPr>
              <w:t xml:space="preserve"> in</w:t>
            </w:r>
            <w:r w:rsidR="00031BCF" w:rsidRPr="00031BCF">
              <w:rPr>
                <w:rFonts w:ascii="Times New Roman" w:hAnsi="Times New Roman"/>
              </w:rPr>
              <w:t xml:space="preserve"> </w:t>
            </w:r>
            <w:r w:rsidR="00783BC1" w:rsidRPr="00031BCF">
              <w:rPr>
                <w:rFonts w:ascii="Times New Roman" w:hAnsi="Times New Roman"/>
              </w:rPr>
              <w:fldChar w:fldCharType="begin"/>
            </w:r>
            <w:r w:rsidR="00031BCF" w:rsidRPr="00031BCF">
              <w:rPr>
                <w:rFonts w:ascii="Times New Roman" w:hAnsi="Times New Roman"/>
              </w:rPr>
              <w:instrText xml:space="preserve"> ADDIN EN.CITE &lt;EndNote&gt;&lt;Cite AuthorYear="1"&gt;&lt;Author&gt;Doucett&lt;/Author&gt;&lt;Year&gt;2007&lt;/Year&gt;&lt;RecNum&gt;55&lt;/RecNum&gt;&lt;DisplayText&gt;Doucett et al. (2007)&lt;/DisplayText&gt;&lt;record&gt;&lt;rec-number&gt;55&lt;/rec-number&gt;&lt;foreign-keys&gt;&lt;key app="EN" db-id="spap5xdperdt93e5evapza9wrdsdz9speffv" timestamp="1398174969"&gt;55&lt;/key&gt;&lt;key app="ENWeb" db-id=""&gt;0&lt;/key&gt;&lt;/foreign-keys&gt;&lt;ref-type name="Journal Article"&gt;17&lt;/ref-type&gt;&lt;contributors&gt;&lt;authors&gt;&lt;author&gt;Doucett, R. R.&lt;/author&gt;&lt;author&gt;Marks, J. C.&lt;/author&gt;&lt;author&gt;Blinn, D. W.&lt;/author&gt;&lt;author&gt;Caron, M.&lt;/author&gt;&lt;author&gt;Hungate, B. A.&lt;/author&gt;&lt;/authors&gt;&lt;/contributors&gt;&lt;titles&gt;&lt;title&gt;Measuring terrestrial subsidies to aquatic food webs using stable isotopes of hydrogen&lt;/title&gt;&lt;secondary-title&gt;Ecology&lt;/secondary-title&gt;&lt;/titles&gt;&lt;periodical&gt;&lt;full-title&gt;Ecology&lt;/full-title&gt;&lt;/periodical&gt;&lt;pages&gt;1587-1592&lt;/pages&gt;&lt;volume&gt;88&lt;/volume&gt;&lt;number&gt;6&lt;/number&gt;&lt;dates&gt;&lt;year&gt;2007&lt;/year&gt;&lt;/dates&gt;&lt;urls&gt;&lt;/urls&gt;&lt;electronic-resource-num&gt;10.1890/06-1184&lt;/electronic-resource-num&gt;&lt;/record&gt;&lt;/Cite&gt;&lt;/EndNote&gt;</w:instrText>
            </w:r>
            <w:r w:rsidR="00783BC1" w:rsidRPr="00031BCF">
              <w:rPr>
                <w:rFonts w:ascii="Times New Roman" w:hAnsi="Times New Roman"/>
              </w:rPr>
              <w:fldChar w:fldCharType="separate"/>
            </w:r>
            <w:r w:rsidR="00031BCF" w:rsidRPr="00031BCF">
              <w:rPr>
                <w:rFonts w:ascii="Times New Roman" w:hAnsi="Times New Roman"/>
                <w:noProof/>
              </w:rPr>
              <w:t>Doucett et al. (2007)</w:t>
            </w:r>
            <w:r w:rsidR="00783BC1" w:rsidRPr="00031BCF">
              <w:rPr>
                <w:rFonts w:ascii="Times New Roman" w:hAnsi="Times New Roman"/>
              </w:rPr>
              <w:fldChar w:fldCharType="end"/>
            </w:r>
            <w:r w:rsidR="00031BCF" w:rsidRPr="00031BCF">
              <w:rPr>
                <w:rFonts w:ascii="Times New Roman" w:hAnsi="Times New Roman"/>
              </w:rPr>
              <w:t xml:space="preserve">, using a CONFLO II coupled to a Delta Plus XL MS (Thermo Fisher Scientific, Waltham, MA). </w:t>
            </w:r>
            <w:r w:rsidR="00031BCF" w:rsidRPr="00031BCF">
              <w:rPr>
                <w:rFonts w:ascii="Times New Roman" w:hAnsi="Times New Roman"/>
                <w:lang w:val="en-CA" w:eastAsia="fr-CA"/>
              </w:rPr>
              <w:t xml:space="preserve">To determine the </w:t>
            </w:r>
            <w:r w:rsidR="00031BCF" w:rsidRPr="00AB360F">
              <w:rPr>
                <w:rFonts w:ascii="Times New Roman" w:hAnsi="Times New Roman"/>
                <w:lang w:val="en-CA" w:eastAsia="fr-CA"/>
              </w:rPr>
              <w:t>phytoplankton</w:t>
            </w:r>
            <w:r w:rsidR="00031BCF" w:rsidRPr="00031BCF">
              <w:rPr>
                <w:rFonts w:ascii="Times New Roman" w:hAnsi="Times New Roman"/>
                <w:lang w:val="en-CA" w:eastAsia="fr-CA"/>
              </w:rPr>
              <w:t xml:space="preserve"> </w:t>
            </w:r>
            <w:r w:rsidR="00551551">
              <w:rPr>
                <w:rFonts w:ascii="Times New Roman" w:hAnsi="Times New Roman"/>
              </w:rPr>
              <w:t>d</w:t>
            </w:r>
            <w:r w:rsidR="00551551" w:rsidRPr="00551551">
              <w:rPr>
                <w:rFonts w:ascii="Times New Roman" w:hAnsi="Times New Roman"/>
              </w:rPr>
              <w:t>13</w:t>
            </w:r>
            <w:r w:rsidR="00551551" w:rsidRPr="00031BCF">
              <w:rPr>
                <w:rFonts w:ascii="Times New Roman" w:hAnsi="Times New Roman"/>
              </w:rPr>
              <w:t>C</w:t>
            </w:r>
            <w:r w:rsidR="00031BCF" w:rsidRPr="00031BCF">
              <w:rPr>
                <w:rFonts w:ascii="Times New Roman" w:hAnsi="Times New Roman"/>
              </w:rPr>
              <w:t xml:space="preserve"> signature, we used specific algal fatty acids (FAs) extracted from bulk seston as a proxy, </w:t>
            </w:r>
            <w:r w:rsidR="00031BCF" w:rsidRPr="00031BCF">
              <w:rPr>
                <w:rFonts w:ascii="Times New Roman" w:hAnsi="Times New Roman"/>
              </w:rPr>
              <w:lastRenderedPageBreak/>
              <w:t>performing SIA on 16:1n7, 18:2n6, 18:3n3 and 20:5n</w:t>
            </w:r>
            <w:r w:rsidR="00ED07B1">
              <w:rPr>
                <w:rFonts w:ascii="Times New Roman" w:hAnsi="Times New Roman"/>
              </w:rPr>
              <w:t>3</w:t>
            </w:r>
            <w:r w:rsidR="002D1B3D">
              <w:rPr>
                <w:rFonts w:ascii="Times New Roman" w:hAnsi="Times New Roman"/>
              </w:rPr>
              <w:t xml:space="preserve"> fra</w:t>
            </w:r>
            <w:r w:rsidR="00ED07B1">
              <w:rPr>
                <w:rFonts w:ascii="Times New Roman" w:hAnsi="Times New Roman"/>
              </w:rPr>
              <w:t>c</w:t>
            </w:r>
            <w:r w:rsidR="002D1B3D">
              <w:rPr>
                <w:rFonts w:ascii="Times New Roman" w:hAnsi="Times New Roman"/>
              </w:rPr>
              <w:t>tions</w:t>
            </w:r>
            <w:r w:rsidR="00031BCF" w:rsidRPr="00031BCF">
              <w:rPr>
                <w:rFonts w:ascii="Times New Roman" w:hAnsi="Times New Roman"/>
              </w:rPr>
              <w:t xml:space="preserve">. The FAs were </w:t>
            </w:r>
            <w:proofErr w:type="spellStart"/>
            <w:r w:rsidR="002D1B3D">
              <w:rPr>
                <w:rFonts w:ascii="Times New Roman" w:hAnsi="Times New Roman"/>
              </w:rPr>
              <w:t>transmethylated</w:t>
            </w:r>
            <w:proofErr w:type="spellEnd"/>
            <w:r w:rsidR="002D1B3D">
              <w:rPr>
                <w:rFonts w:ascii="Times New Roman" w:hAnsi="Times New Roman"/>
              </w:rPr>
              <w:t xml:space="preserve"> according </w:t>
            </w:r>
            <w:r w:rsidR="002D1B3D" w:rsidRPr="002D1B3D">
              <w:rPr>
                <w:rFonts w:ascii="Times New Roman" w:hAnsi="Times New Roman"/>
              </w:rPr>
              <w:t xml:space="preserve">to a </w:t>
            </w:r>
            <w:r w:rsidR="00031BCF" w:rsidRPr="002D1B3D">
              <w:rPr>
                <w:rFonts w:ascii="Times New Roman" w:hAnsi="Times New Roman"/>
              </w:rPr>
              <w:t>protocol</w:t>
            </w:r>
            <w:r w:rsidR="002D1B3D" w:rsidRPr="002D1B3D">
              <w:rPr>
                <w:rFonts w:ascii="Times New Roman" w:hAnsi="Times New Roman"/>
              </w:rPr>
              <w:t xml:space="preserve"> adapted</w:t>
            </w:r>
            <w:r w:rsidR="00031BCF" w:rsidRPr="002D1B3D">
              <w:rPr>
                <w:rFonts w:ascii="Times New Roman" w:hAnsi="Times New Roman"/>
              </w:rPr>
              <w:t xml:space="preserve"> from </w:t>
            </w:r>
            <w:r w:rsidR="00783BC1" w:rsidRPr="002D1B3D">
              <w:rPr>
                <w:rFonts w:ascii="Times New Roman" w:hAnsi="Times New Roman"/>
              </w:rPr>
              <w:fldChar w:fldCharType="begin"/>
            </w:r>
            <w:r w:rsidR="00031BCF" w:rsidRPr="002D1B3D">
              <w:rPr>
                <w:rFonts w:ascii="Times New Roman" w:hAnsi="Times New Roman"/>
              </w:rPr>
              <w:instrText xml:space="preserve"> ADDIN EN.CITE &lt;EndNote&gt;&lt;Cite AuthorYear="1"&gt;&lt;Author&gt;Lepage&lt;/Author&gt;&lt;Year&gt;1984&lt;/Year&gt;&lt;RecNum&gt;710&lt;/RecNum&gt;&lt;DisplayText&gt;Lepage and Roy (1984)&lt;/DisplayText&gt;&lt;record&gt;&lt;rec-number&gt;710&lt;/rec-number&gt;&lt;foreign-keys&gt;&lt;key app="EN" db-id="spap5xdperdt93e5evapza9wrdsdz9speffv" timestamp="1494513781"&gt;710&lt;/key&gt;&lt;/foreign-keys&gt;&lt;ref-type name="Journal Article"&gt;17&lt;/ref-type&gt;&lt;contributors&gt;&lt;authors&gt;&lt;author&gt;Lepage, G.&lt;/author&gt;&lt;author&gt;Roy, C. C.&lt;/author&gt;&lt;/authors&gt;&lt;/contributors&gt;&lt;titles&gt;&lt;title&gt;Improved recovery of fatty acid through direct transesterification without prior extraction or purification&lt;/title&gt;&lt;secondary-title&gt;Journal of Lipid Research&lt;/secondary-title&gt;&lt;alt-title&gt;Journal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research&lt;/abbr-1&gt;&lt;/alt-periodical&gt;&lt;pages&gt;1391-6&lt;/pages&gt;&lt;volume&gt;25&lt;/volume&gt;&lt;number&gt;12&lt;/number&gt;&lt;edition&gt;1984/12/01&lt;/edition&gt;&lt;keywords&gt;&lt;keyword&gt;Adipose Tissue/metabolism&lt;/keyword&gt;&lt;keyword&gt;Chemical Phenomena&lt;/keyword&gt;&lt;keyword&gt;Chemistry&lt;/keyword&gt;&lt;keyword&gt;Chromatography, Gas&lt;/keyword&gt;&lt;keyword&gt;Fatty Acids/*analysis&lt;/keyword&gt;&lt;keyword&gt;Humans&lt;/keyword&gt;&lt;keyword&gt;Milk, Human/analysis&lt;/keyword&gt;&lt;keyword&gt;Triglycerides/blood&lt;/keyword&gt;&lt;/keywords&gt;&lt;dates&gt;&lt;year&gt;1984&lt;/year&gt;&lt;pub-dates&gt;&lt;date&gt;Dec 01&lt;/date&gt;&lt;/pub-dates&gt;&lt;/dates&gt;&lt;isbn&gt;0022-2275 (Print)&amp;#xD;0022-2275&lt;/isbn&gt;&lt;accession-num&gt;6530596&lt;/accession-num&gt;&lt;urls&gt;&lt;/urls&gt;&lt;remote-database-provider&gt;NLM&lt;/remote-database-provider&gt;&lt;language&gt;eng&lt;/language&gt;&lt;/record&gt;&lt;/Cite&gt;&lt;/EndNote&gt;</w:instrText>
            </w:r>
            <w:r w:rsidR="00783BC1" w:rsidRPr="002D1B3D">
              <w:rPr>
                <w:rFonts w:ascii="Times New Roman" w:hAnsi="Times New Roman"/>
              </w:rPr>
              <w:fldChar w:fldCharType="separate"/>
            </w:r>
            <w:r w:rsidR="00031BCF" w:rsidRPr="002D1B3D">
              <w:rPr>
                <w:rFonts w:ascii="Times New Roman" w:hAnsi="Times New Roman"/>
                <w:noProof/>
              </w:rPr>
              <w:t>Lepage and Roy (1984)</w:t>
            </w:r>
            <w:r w:rsidR="00783BC1" w:rsidRPr="002D1B3D">
              <w:rPr>
                <w:rFonts w:ascii="Times New Roman" w:hAnsi="Times New Roman"/>
              </w:rPr>
              <w:fldChar w:fldCharType="end"/>
            </w:r>
            <w:r w:rsidR="00031BCF" w:rsidRPr="002D1B3D">
              <w:rPr>
                <w:rFonts w:ascii="Times New Roman" w:hAnsi="Times New Roman"/>
              </w:rPr>
              <w:t xml:space="preserve">. The </w:t>
            </w:r>
            <w:r w:rsidR="00551551" w:rsidRPr="002D1B3D">
              <w:rPr>
                <w:rFonts w:ascii="Times New Roman" w:hAnsi="Times New Roman"/>
              </w:rPr>
              <w:t>d13C</w:t>
            </w:r>
            <w:r w:rsidR="00031BCF" w:rsidRPr="002D1B3D">
              <w:rPr>
                <w:rFonts w:ascii="Times New Roman" w:hAnsi="Times New Roman"/>
              </w:rPr>
              <w:t xml:space="preserve"> analyses on FAs were carried out in the Stable Isotope Laboratory of Memorial University (Memorial University of Newfoundland, NL), using a 6890N GS (Agilent, Santa Clara, CA) linked to a Delta V Plus MS (Thermo Fisher Scientific, Waltham, MA). We estimated the phytoplankton </w:t>
            </w:r>
            <w:r w:rsidR="00551551" w:rsidRPr="002D1B3D">
              <w:rPr>
                <w:rFonts w:ascii="Times New Roman" w:hAnsi="Times New Roman"/>
              </w:rPr>
              <w:t>d2H</w:t>
            </w:r>
            <w:r w:rsidR="00031BCF" w:rsidRPr="002D1B3D">
              <w:rPr>
                <w:rFonts w:ascii="Times New Roman" w:hAnsi="Times New Roman"/>
              </w:rPr>
              <w:t xml:space="preserve"> signature as in </w:t>
            </w:r>
            <w:r w:rsidR="00783BC1" w:rsidRPr="002D1B3D">
              <w:rPr>
                <w:rFonts w:ascii="Times New Roman" w:hAnsi="Times New Roman"/>
              </w:rPr>
              <w:fldChar w:fldCharType="begin"/>
            </w:r>
            <w:r w:rsidR="00031BCF" w:rsidRPr="002D1B3D">
              <w:rPr>
                <w:rFonts w:ascii="Times New Roman" w:hAnsi="Times New Roman"/>
              </w:rPr>
              <w:instrText xml:space="preserve"> ADDIN EN.CITE &lt;EndNote&gt;&lt;Cite AuthorYear="1"&gt;&lt;Author&gt;Grosbois&lt;/Author&gt;&lt;Year&gt;2017&lt;/Year&gt;&lt;RecNum&gt;700&lt;/RecNum&gt;&lt;DisplayText&gt;Grosbois et al. (2017)&lt;/DisplayText&gt;&lt;record&gt;&lt;rec-number&gt;700&lt;/rec-number&gt;&lt;foreign-keys&gt;&lt;key app="EN" db-id="spap5xdperdt93e5evapza9wrdsdz9speffv" timestamp="1493665496"&gt;700&lt;/key&gt;&lt;/foreign-keys&gt;&lt;ref-type name="Journal Article"&gt;17&lt;/ref-type&gt;&lt;contributors&gt;&lt;authors&gt;&lt;author&gt;Grosbois, Guillaume&lt;/author&gt;&lt;author&gt;del Giorgio, Paul A.&lt;/author&gt;&lt;author&gt;Rautio, Milla&lt;/author&gt;&lt;/authors&gt;&lt;/contributors&gt;&lt;titles&gt;&lt;title&gt;Zooplankton allochthony is spatially heterogeneous in a boreal lake&lt;/title&gt;&lt;secondary-title&gt;Freshwater Biology&lt;/secondary-title&gt;&lt;/titles&gt;&lt;periodical&gt;&lt;full-title&gt;Freshwater Biology&lt;/full-title&gt;&lt;/periodical&gt;&lt;pages&gt;474-490&lt;/pages&gt;&lt;volume&gt;62&lt;/volume&gt;&lt;number&gt;3&lt;/number&gt;&lt;keywords&gt;&lt;keyword&gt;Copepoda&lt;/keyword&gt;&lt;keyword&gt;macrophytes&lt;/keyword&gt;&lt;keyword&gt;mixing model&lt;/keyword&gt;&lt;keyword&gt;stable isotopes&lt;/keyword&gt;&lt;keyword&gt;terrestrial carbon&lt;/keyword&gt;&lt;/keywords&gt;&lt;dates&gt;&lt;year&gt;2017&lt;/year&gt;&lt;/dates&gt;&lt;isbn&gt;1365-2427&lt;/isbn&gt;&lt;urls&gt;&lt;related-urls&gt;&lt;url&gt;http://dx.doi.org/10.1111/fwb.12879&lt;/url&gt;&lt;/related-urls&gt;&lt;/urls&gt;&lt;electronic-resource-num&gt;10.1111/fwb.12879&lt;/electronic-resource-num&gt;&lt;/record&gt;&lt;/Cite&gt;&lt;/EndNote&gt;</w:instrText>
            </w:r>
            <w:r w:rsidR="00783BC1" w:rsidRPr="002D1B3D">
              <w:rPr>
                <w:rFonts w:ascii="Times New Roman" w:hAnsi="Times New Roman"/>
              </w:rPr>
              <w:fldChar w:fldCharType="separate"/>
            </w:r>
            <w:r w:rsidR="00031BCF" w:rsidRPr="002D1B3D">
              <w:rPr>
                <w:rFonts w:ascii="Times New Roman" w:hAnsi="Times New Roman"/>
                <w:noProof/>
              </w:rPr>
              <w:t>Grosbois et al. (2017)</w:t>
            </w:r>
            <w:r w:rsidR="00783BC1" w:rsidRPr="002D1B3D">
              <w:rPr>
                <w:rFonts w:ascii="Times New Roman" w:hAnsi="Times New Roman"/>
              </w:rPr>
              <w:fldChar w:fldCharType="end"/>
            </w:r>
            <w:r w:rsidR="00031BCF" w:rsidRPr="002D1B3D">
              <w:rPr>
                <w:rFonts w:ascii="Times New Roman" w:hAnsi="Times New Roman"/>
              </w:rPr>
              <w:t xml:space="preserve">. </w:t>
            </w:r>
            <w:r w:rsidR="002D1B3D">
              <w:rPr>
                <w:rFonts w:ascii="Times New Roman" w:hAnsi="Times New Roman"/>
              </w:rPr>
              <w:t>Benthic</w:t>
            </w:r>
            <w:r w:rsidR="002D1B3D" w:rsidRPr="002D1B3D">
              <w:rPr>
                <w:rFonts w:ascii="Times New Roman" w:hAnsi="Times New Roman"/>
              </w:rPr>
              <w:t xml:space="preserve"> samples had not been acid fumigated and we therefore considered the benthic bulk </w:t>
            </w:r>
            <w:r w:rsidR="008C47CB" w:rsidRPr="002D1B3D">
              <w:rPr>
                <w:rFonts w:ascii="Times New Roman" w:hAnsi="Times New Roman"/>
              </w:rPr>
              <w:t>d13C</w:t>
            </w:r>
            <w:r w:rsidR="002D1B3D" w:rsidRPr="002D1B3D">
              <w:rPr>
                <w:rFonts w:ascii="Times New Roman" w:hAnsi="Times New Roman"/>
              </w:rPr>
              <w:t xml:space="preserve"> signatures to not be</w:t>
            </w:r>
            <w:r w:rsidR="002D1B3D">
              <w:rPr>
                <w:rFonts w:ascii="Times New Roman" w:hAnsi="Times New Roman"/>
              </w:rPr>
              <w:t xml:space="preserve"> </w:t>
            </w:r>
            <w:r w:rsidR="002D1B3D" w:rsidRPr="002D1B3D">
              <w:rPr>
                <w:rFonts w:ascii="Times New Roman" w:hAnsi="Times New Roman"/>
              </w:rPr>
              <w:t>reliable</w:t>
            </w:r>
            <w:r w:rsidR="00031BCF" w:rsidRPr="002D1B3D">
              <w:rPr>
                <w:rFonts w:ascii="Times New Roman" w:hAnsi="Times New Roman"/>
              </w:rPr>
              <w:t xml:space="preserve">. Consequently, as for the </w:t>
            </w:r>
            <w:r w:rsidR="00031BCF" w:rsidRPr="002D1B3D">
              <w:rPr>
                <w:rFonts w:ascii="Times New Roman" w:hAnsi="Times New Roman"/>
                <w:lang w:val="en-CA" w:eastAsia="fr-CA"/>
              </w:rPr>
              <w:t>phytoplankton</w:t>
            </w:r>
            <w:r w:rsidR="00031BCF" w:rsidRPr="002D1B3D">
              <w:rPr>
                <w:rFonts w:ascii="Times New Roman" w:hAnsi="Times New Roman"/>
              </w:rPr>
              <w:t xml:space="preserve">, we extracted the FAs from the benthic bulk material and performed </w:t>
            </w:r>
            <w:r w:rsidR="00551551" w:rsidRPr="002D1B3D">
              <w:rPr>
                <w:rFonts w:ascii="Times New Roman" w:hAnsi="Times New Roman"/>
              </w:rPr>
              <w:t>d13C</w:t>
            </w:r>
            <w:r w:rsidR="00031BCF" w:rsidRPr="002D1B3D">
              <w:rPr>
                <w:rFonts w:ascii="Times New Roman" w:hAnsi="Times New Roman"/>
              </w:rPr>
              <w:t xml:space="preserve"> analyses on</w:t>
            </w:r>
            <w:r w:rsidR="002D1B3D">
              <w:rPr>
                <w:rFonts w:ascii="Times New Roman" w:hAnsi="Times New Roman"/>
              </w:rPr>
              <w:t xml:space="preserve"> the</w:t>
            </w:r>
            <w:r w:rsidR="00031BCF" w:rsidRPr="00031BCF">
              <w:rPr>
                <w:rFonts w:ascii="Times New Roman" w:hAnsi="Times New Roman"/>
              </w:rPr>
              <w:t xml:space="preserve"> 14:0, 16:0 and 18:0</w:t>
            </w:r>
            <w:r w:rsidR="002D1B3D">
              <w:rPr>
                <w:rFonts w:ascii="Times New Roman" w:hAnsi="Times New Roman"/>
              </w:rPr>
              <w:t xml:space="preserve"> fractions</w:t>
            </w:r>
            <w:r w:rsidR="00942453">
              <w:rPr>
                <w:rFonts w:ascii="Times New Roman" w:hAnsi="Times New Roman"/>
              </w:rPr>
              <w:t>.</w:t>
            </w:r>
          </w:p>
        </w:tc>
      </w:tr>
      <w:tr w:rsidR="0002394C" w:rsidRPr="00DD51B1" w:rsidTr="00DD51B1">
        <w:trPr>
          <w:cantSplit/>
        </w:trPr>
        <w:tc>
          <w:tcPr>
            <w:tcW w:w="2538" w:type="dxa"/>
          </w:tcPr>
          <w:p w:rsidR="0002394C" w:rsidRPr="00DD51B1" w:rsidRDefault="0002394C" w:rsidP="00971C4C">
            <w:pPr>
              <w:spacing w:before="120" w:after="120" w:line="240" w:lineRule="auto"/>
              <w:rPr>
                <w:rFonts w:ascii="Times New Roman" w:hAnsi="Times New Roman"/>
              </w:rPr>
            </w:pPr>
            <w:r>
              <w:rPr>
                <w:rFonts w:ascii="Times New Roman" w:hAnsi="Times New Roman"/>
                <w:b/>
              </w:rPr>
              <w:lastRenderedPageBreak/>
              <w:t>Quality c</w:t>
            </w:r>
            <w:r w:rsidRPr="0017567B">
              <w:rPr>
                <w:rFonts w:ascii="Times New Roman" w:hAnsi="Times New Roman"/>
                <w:b/>
              </w:rPr>
              <w:t>ontrol</w:t>
            </w:r>
          </w:p>
        </w:tc>
        <w:tc>
          <w:tcPr>
            <w:tcW w:w="7470" w:type="dxa"/>
          </w:tcPr>
          <w:p w:rsidR="0002394C" w:rsidRPr="00BA3A5D" w:rsidRDefault="00BA3A5D" w:rsidP="00031BCF">
            <w:pPr>
              <w:widowControl w:val="0"/>
              <w:spacing w:before="120" w:after="120" w:line="240" w:lineRule="auto"/>
              <w:jc w:val="both"/>
              <w:rPr>
                <w:rFonts w:ascii="Times New Roman" w:hAnsi="Times New Roman"/>
              </w:rPr>
            </w:pPr>
            <w:r>
              <w:rPr>
                <w:rFonts w:ascii="Times New Roman" w:hAnsi="Times New Roman"/>
              </w:rPr>
              <w:t>Data were double check for accuracy with original data files, both during processing and prior submission for publication</w:t>
            </w:r>
          </w:p>
        </w:tc>
      </w:tr>
      <w:tr w:rsidR="0002394C" w:rsidRPr="0017567B" w:rsidTr="003E320E">
        <w:tc>
          <w:tcPr>
            <w:tcW w:w="2538" w:type="dxa"/>
          </w:tcPr>
          <w:p w:rsidR="0002394C" w:rsidRPr="0017567B" w:rsidRDefault="0002394C" w:rsidP="00971C4C">
            <w:pPr>
              <w:spacing w:before="120" w:after="120" w:line="240" w:lineRule="auto"/>
              <w:rPr>
                <w:rFonts w:ascii="Times New Roman" w:hAnsi="Times New Roman"/>
                <w:b/>
              </w:rPr>
            </w:pPr>
            <w:r>
              <w:rPr>
                <w:rFonts w:ascii="Times New Roman" w:hAnsi="Times New Roman"/>
                <w:b/>
              </w:rPr>
              <w:t>Additional information</w:t>
            </w:r>
          </w:p>
        </w:tc>
        <w:tc>
          <w:tcPr>
            <w:tcW w:w="7470" w:type="dxa"/>
          </w:tcPr>
          <w:p w:rsidR="00AB2064" w:rsidRDefault="00FB48AD" w:rsidP="009A1982">
            <w:pPr>
              <w:spacing w:before="120" w:after="120" w:line="240" w:lineRule="auto"/>
              <w:jc w:val="both"/>
              <w:rPr>
                <w:rFonts w:ascii="Times New Roman" w:hAnsi="Times New Roman"/>
              </w:rPr>
            </w:pPr>
            <w:r>
              <w:rPr>
                <w:rFonts w:ascii="Times New Roman" w:hAnsi="Times New Roman"/>
              </w:rPr>
              <w:t xml:space="preserve">We also give access to a </w:t>
            </w:r>
            <w:r w:rsidR="00E57C41">
              <w:rPr>
                <w:rFonts w:ascii="Times New Roman" w:hAnsi="Times New Roman"/>
              </w:rPr>
              <w:t>MATLAB</w:t>
            </w:r>
            <w:r>
              <w:rPr>
                <w:rFonts w:ascii="Times New Roman" w:hAnsi="Times New Roman"/>
              </w:rPr>
              <w:t xml:space="preserve"> file </w:t>
            </w:r>
            <w:r w:rsidRPr="00771B95">
              <w:rPr>
                <w:rFonts w:ascii="Times New Roman" w:hAnsi="Times New Roman"/>
                <w:b/>
                <w:i/>
              </w:rPr>
              <w:t>mydata_Fluorometric_Data.mat</w:t>
            </w:r>
            <w:r>
              <w:rPr>
                <w:rFonts w:ascii="Times New Roman" w:hAnsi="Times New Roman"/>
              </w:rPr>
              <w:t>, which contains the excitation-emission matrices (EEMs) for all the samples run in our PARAFAC model. These EEMs have been corrected for inner filter effects</w:t>
            </w:r>
            <w:r w:rsidR="00E57C41">
              <w:rPr>
                <w:rFonts w:ascii="Times New Roman" w:hAnsi="Times New Roman"/>
              </w:rPr>
              <w:t>. We also standardized fluorescence to Raman units.</w:t>
            </w:r>
            <w:r w:rsidR="00AB2064">
              <w:rPr>
                <w:rFonts w:ascii="Times New Roman" w:hAnsi="Times New Roman"/>
              </w:rPr>
              <w:t xml:space="preserve"> With this file, you are able to run the PARAFAC model on MATLAB as we did (see Murphy et al. (2013) for the tutorial).</w:t>
            </w:r>
          </w:p>
          <w:p w:rsidR="00927639" w:rsidRPr="00AB2064" w:rsidRDefault="00927639" w:rsidP="00927639">
            <w:pPr>
              <w:spacing w:before="120" w:after="120" w:line="240" w:lineRule="auto"/>
              <w:jc w:val="both"/>
              <w:rPr>
                <w:rFonts w:ascii="Times New Roman" w:hAnsi="Times New Roman"/>
              </w:rPr>
            </w:pPr>
            <w:r>
              <w:rPr>
                <w:rFonts w:ascii="Times New Roman" w:hAnsi="Times New Roman"/>
              </w:rPr>
              <w:t>Note that in those datasets, we give you rounded values. Therefore, it is possible that you have slightly different values if you redo some calculations.</w:t>
            </w:r>
          </w:p>
        </w:tc>
      </w:tr>
    </w:tbl>
    <w:p w:rsidR="0094082C" w:rsidRDefault="0094082C" w:rsidP="00E030C6">
      <w:pPr>
        <w:spacing w:line="240" w:lineRule="auto"/>
        <w:rPr>
          <w:rFonts w:ascii="Times New Roman" w:hAnsi="Times New Roman"/>
          <w:b/>
        </w:rPr>
      </w:pPr>
    </w:p>
    <w:p w:rsidR="00D07006" w:rsidRDefault="00E030C6" w:rsidP="00A27683">
      <w:pPr>
        <w:spacing w:before="240" w:line="240" w:lineRule="auto"/>
        <w:rPr>
          <w:rFonts w:ascii="Times New Roman" w:hAnsi="Times New Roman"/>
        </w:rPr>
      </w:pPr>
      <w:proofErr w:type="gramStart"/>
      <w:r w:rsidRPr="0017567B">
        <w:rPr>
          <w:rFonts w:ascii="Times New Roman" w:hAnsi="Times New Roman"/>
          <w:b/>
        </w:rPr>
        <w:t>Table 2.</w:t>
      </w:r>
      <w:proofErr w:type="gramEnd"/>
      <w:r w:rsidRPr="0017567B">
        <w:rPr>
          <w:rFonts w:ascii="Times New Roman" w:hAnsi="Times New Roman"/>
        </w:rPr>
        <w:t xml:space="preserve"> </w:t>
      </w:r>
      <w:proofErr w:type="gramStart"/>
      <w:r w:rsidRPr="0017567B">
        <w:rPr>
          <w:rFonts w:ascii="Times New Roman" w:hAnsi="Times New Roman"/>
        </w:rPr>
        <w:t xml:space="preserve">Description of the </w:t>
      </w:r>
      <w:r w:rsidR="00F64512">
        <w:rPr>
          <w:rFonts w:ascii="Times New Roman" w:hAnsi="Times New Roman"/>
        </w:rPr>
        <w:t xml:space="preserve">variables (i.e., columns) in </w:t>
      </w:r>
      <w:r w:rsidR="008A5C3C">
        <w:rPr>
          <w:rFonts w:ascii="Times New Roman" w:hAnsi="Times New Roman"/>
        </w:rPr>
        <w:t>EACH</w:t>
      </w:r>
      <w:r w:rsidR="00F64512">
        <w:rPr>
          <w:rFonts w:ascii="Times New Roman" w:hAnsi="Times New Roman"/>
        </w:rPr>
        <w:t xml:space="preserve"> dataset in sufficient detail for another user to understand and use the data.</w:t>
      </w:r>
      <w:proofErr w:type="gramEnd"/>
      <w:r w:rsidR="00F64512">
        <w:rPr>
          <w:rFonts w:ascii="Times New Roman" w:hAnsi="Times New Roman"/>
        </w:rPr>
        <w:t xml:space="preserve"> If there are 10 variables (i.e., columns) in the dataset, then there should be 10 rows in this column that describe each column.</w:t>
      </w:r>
    </w:p>
    <w:p w:rsidR="008A5C3C" w:rsidRPr="0017567B" w:rsidRDefault="008A5C3C" w:rsidP="00E030C6">
      <w:pPr>
        <w:spacing w:line="240" w:lineRule="auto"/>
        <w:rPr>
          <w:rFonts w:ascii="Times New Roman" w:hAnsi="Times New Roman"/>
        </w:rPr>
      </w:pPr>
      <w:r>
        <w:rPr>
          <w:rFonts w:ascii="Times New Roman" w:hAnsi="Times New Roman"/>
        </w:rPr>
        <w:t>Dataset filename:</w:t>
      </w:r>
      <w:r w:rsidR="005B52DC">
        <w:rPr>
          <w:rFonts w:ascii="Times New Roman" w:hAnsi="Times New Roman"/>
        </w:rPr>
        <w:t xml:space="preserve"> </w:t>
      </w:r>
      <w:r w:rsidR="005B52DC" w:rsidRPr="005B52DC">
        <w:rPr>
          <w:rFonts w:ascii="Times New Roman" w:hAnsi="Times New Roman"/>
          <w:b/>
        </w:rPr>
        <w:t>CDOM_Database.</w:t>
      </w:r>
      <w:r w:rsidR="005A45DB">
        <w:rPr>
          <w:rFonts w:ascii="Times New Roman" w:hAnsi="Times New Roman"/>
          <w:b/>
        </w:rPr>
        <w:t>csv</w:t>
      </w:r>
    </w:p>
    <w:tbl>
      <w:tblPr>
        <w:tblStyle w:val="Grilledutableau"/>
        <w:tblW w:w="8928" w:type="dxa"/>
        <w:tblInd w:w="378" w:type="dxa"/>
        <w:tblLook w:val="04A0"/>
      </w:tblPr>
      <w:tblGrid>
        <w:gridCol w:w="2088"/>
        <w:gridCol w:w="4950"/>
        <w:gridCol w:w="1890"/>
      </w:tblGrid>
      <w:tr w:rsidR="00F64512" w:rsidRPr="0017567B" w:rsidTr="00F45AC7">
        <w:trPr>
          <w:trHeight w:val="315"/>
        </w:trPr>
        <w:tc>
          <w:tcPr>
            <w:tcW w:w="2088" w:type="dxa"/>
            <w:noWrap/>
            <w:vAlign w:val="center"/>
            <w:hideMark/>
          </w:tcPr>
          <w:p w:rsidR="00F64512" w:rsidRPr="0017567B" w:rsidRDefault="00F64512" w:rsidP="00F45AC7">
            <w:pPr>
              <w:spacing w:after="0" w:line="240" w:lineRule="auto"/>
              <w:rPr>
                <w:rFonts w:ascii="Times New Roman" w:hAnsi="Times New Roman"/>
                <w:b/>
                <w:bCs/>
              </w:rPr>
            </w:pPr>
            <w:r w:rsidRPr="0017567B">
              <w:rPr>
                <w:rFonts w:ascii="Times New Roman" w:hAnsi="Times New Roman"/>
                <w:b/>
                <w:bCs/>
              </w:rPr>
              <w:t>Column name</w:t>
            </w:r>
          </w:p>
        </w:tc>
        <w:tc>
          <w:tcPr>
            <w:tcW w:w="4950" w:type="dxa"/>
            <w:vAlign w:val="center"/>
            <w:hideMark/>
          </w:tcPr>
          <w:p w:rsidR="00F64512" w:rsidRPr="0017567B" w:rsidRDefault="00F64512" w:rsidP="00F45AC7">
            <w:pPr>
              <w:spacing w:after="0" w:line="240" w:lineRule="auto"/>
              <w:rPr>
                <w:rFonts w:ascii="Times New Roman" w:hAnsi="Times New Roman"/>
                <w:b/>
                <w:bCs/>
              </w:rPr>
            </w:pPr>
            <w:r w:rsidRPr="0017567B">
              <w:rPr>
                <w:rFonts w:ascii="Times New Roman" w:hAnsi="Times New Roman"/>
                <w:b/>
                <w:bCs/>
              </w:rPr>
              <w:t>Definition</w:t>
            </w:r>
          </w:p>
        </w:tc>
        <w:tc>
          <w:tcPr>
            <w:tcW w:w="1890" w:type="dxa"/>
            <w:vAlign w:val="center"/>
          </w:tcPr>
          <w:p w:rsidR="00F64512" w:rsidRPr="0017567B" w:rsidRDefault="00F64512" w:rsidP="00F45AC7">
            <w:pPr>
              <w:spacing w:after="0" w:line="240" w:lineRule="auto"/>
              <w:rPr>
                <w:rFonts w:ascii="Times New Roman" w:hAnsi="Times New Roman"/>
                <w:b/>
                <w:bCs/>
              </w:rPr>
            </w:pPr>
            <w:r w:rsidRPr="0017567B">
              <w:rPr>
                <w:rFonts w:ascii="Times New Roman" w:hAnsi="Times New Roman"/>
                <w:b/>
                <w:bCs/>
              </w:rPr>
              <w:t>Units</w:t>
            </w:r>
          </w:p>
        </w:tc>
      </w:tr>
      <w:tr w:rsidR="00F64512" w:rsidRPr="0017567B" w:rsidTr="00F45AC7">
        <w:trPr>
          <w:trHeight w:val="305"/>
        </w:trPr>
        <w:tc>
          <w:tcPr>
            <w:tcW w:w="2088" w:type="dxa"/>
            <w:noWrap/>
            <w:vAlign w:val="center"/>
          </w:tcPr>
          <w:p w:rsidR="00F64512" w:rsidRPr="00081C53" w:rsidRDefault="00081C53" w:rsidP="00F45AC7">
            <w:pPr>
              <w:spacing w:after="0" w:line="240" w:lineRule="auto"/>
              <w:rPr>
                <w:rFonts w:ascii="Times New Roman" w:hAnsi="Times New Roman"/>
                <w:sz w:val="20"/>
              </w:rPr>
            </w:pPr>
            <w:r w:rsidRPr="00081C53">
              <w:rPr>
                <w:rFonts w:ascii="Times New Roman" w:hAnsi="Times New Roman"/>
                <w:sz w:val="20"/>
              </w:rPr>
              <w:t>Sample</w:t>
            </w:r>
            <w:r>
              <w:rPr>
                <w:rFonts w:ascii="Times New Roman" w:hAnsi="Times New Roman"/>
                <w:sz w:val="20"/>
              </w:rPr>
              <w:t xml:space="preserve"> </w:t>
            </w:r>
            <w:r w:rsidR="005B52DC" w:rsidRPr="00081C53">
              <w:rPr>
                <w:rFonts w:ascii="Times New Roman" w:hAnsi="Times New Roman"/>
                <w:sz w:val="20"/>
              </w:rPr>
              <w:t>N°</w:t>
            </w:r>
          </w:p>
        </w:tc>
        <w:tc>
          <w:tcPr>
            <w:tcW w:w="4950" w:type="dxa"/>
            <w:vAlign w:val="center"/>
          </w:tcPr>
          <w:p w:rsidR="00F64512" w:rsidRPr="004E665F" w:rsidRDefault="00F44987" w:rsidP="00F45AC7">
            <w:pPr>
              <w:spacing w:after="0" w:line="240" w:lineRule="auto"/>
              <w:rPr>
                <w:rFonts w:ascii="Times New Roman" w:hAnsi="Times New Roman"/>
                <w:sz w:val="20"/>
                <w:szCs w:val="20"/>
              </w:rPr>
            </w:pPr>
            <w:r w:rsidRPr="004E665F">
              <w:rPr>
                <w:rFonts w:ascii="Times New Roman" w:hAnsi="Times New Roman"/>
                <w:sz w:val="20"/>
                <w:szCs w:val="20"/>
              </w:rPr>
              <w:t>Number of the sample</w:t>
            </w:r>
          </w:p>
        </w:tc>
        <w:tc>
          <w:tcPr>
            <w:tcW w:w="1890" w:type="dxa"/>
            <w:vAlign w:val="center"/>
          </w:tcPr>
          <w:p w:rsidR="00F64512" w:rsidRPr="00081C53" w:rsidRDefault="00081C53" w:rsidP="00F45AC7">
            <w:pPr>
              <w:spacing w:after="0" w:line="240" w:lineRule="auto"/>
              <w:rPr>
                <w:rFonts w:ascii="Times New Roman" w:hAnsi="Times New Roman"/>
                <w:sz w:val="20"/>
              </w:rPr>
            </w:pPr>
            <w:r>
              <w:rPr>
                <w:rFonts w:ascii="Times New Roman" w:hAnsi="Times New Roman"/>
                <w:sz w:val="20"/>
              </w:rPr>
              <w:t>n/a</w:t>
            </w:r>
          </w:p>
        </w:tc>
      </w:tr>
      <w:tr w:rsidR="00F64512" w:rsidRPr="0017567B" w:rsidTr="00F45AC7">
        <w:trPr>
          <w:trHeight w:val="300"/>
        </w:trPr>
        <w:tc>
          <w:tcPr>
            <w:tcW w:w="2088" w:type="dxa"/>
            <w:noWrap/>
            <w:vAlign w:val="center"/>
          </w:tcPr>
          <w:p w:rsidR="00F64512" w:rsidRPr="0017567B" w:rsidRDefault="005B52DC" w:rsidP="00483E69">
            <w:pPr>
              <w:spacing w:after="0" w:line="240" w:lineRule="auto"/>
              <w:rPr>
                <w:rFonts w:ascii="Times New Roman" w:hAnsi="Times New Roman"/>
                <w:sz w:val="20"/>
              </w:rPr>
            </w:pPr>
            <w:r w:rsidRPr="005B52DC">
              <w:rPr>
                <w:rFonts w:ascii="Times New Roman" w:hAnsi="Times New Roman"/>
                <w:sz w:val="20"/>
              </w:rPr>
              <w:t xml:space="preserve">Sample </w:t>
            </w:r>
            <w:r w:rsidR="00483E69">
              <w:rPr>
                <w:rFonts w:ascii="Times New Roman" w:hAnsi="Times New Roman"/>
                <w:sz w:val="20"/>
              </w:rPr>
              <w:t>n</w:t>
            </w:r>
            <w:r w:rsidRPr="005B52DC">
              <w:rPr>
                <w:rFonts w:ascii="Times New Roman" w:hAnsi="Times New Roman"/>
                <w:sz w:val="20"/>
              </w:rPr>
              <w:t>ame</w:t>
            </w:r>
          </w:p>
        </w:tc>
        <w:tc>
          <w:tcPr>
            <w:tcW w:w="4950" w:type="dxa"/>
            <w:vAlign w:val="center"/>
          </w:tcPr>
          <w:p w:rsidR="00F64512" w:rsidRPr="004E665F" w:rsidRDefault="00F44987" w:rsidP="00F45AC7">
            <w:pPr>
              <w:spacing w:after="0" w:line="240" w:lineRule="auto"/>
              <w:rPr>
                <w:rFonts w:ascii="Times New Roman" w:hAnsi="Times New Roman"/>
                <w:sz w:val="20"/>
                <w:szCs w:val="20"/>
              </w:rPr>
            </w:pPr>
            <w:r w:rsidRPr="004E665F">
              <w:rPr>
                <w:rFonts w:ascii="Times New Roman" w:hAnsi="Times New Roman"/>
                <w:sz w:val="20"/>
                <w:szCs w:val="20"/>
              </w:rPr>
              <w:t>Name of the sample</w:t>
            </w:r>
          </w:p>
        </w:tc>
        <w:tc>
          <w:tcPr>
            <w:tcW w:w="1890" w:type="dxa"/>
            <w:vAlign w:val="center"/>
          </w:tcPr>
          <w:p w:rsidR="00F64512" w:rsidRPr="0017567B" w:rsidRDefault="00081C53" w:rsidP="00F45AC7">
            <w:pPr>
              <w:spacing w:after="0" w:line="240" w:lineRule="auto"/>
              <w:rPr>
                <w:rFonts w:ascii="Times New Roman" w:hAnsi="Times New Roman"/>
                <w:sz w:val="20"/>
              </w:rPr>
            </w:pPr>
            <w:r>
              <w:rPr>
                <w:rFonts w:ascii="Times New Roman" w:hAnsi="Times New Roman"/>
                <w:sz w:val="20"/>
              </w:rPr>
              <w:t>Text</w:t>
            </w:r>
          </w:p>
        </w:tc>
      </w:tr>
      <w:tr w:rsidR="00F64512" w:rsidRPr="0017567B" w:rsidTr="00F45AC7">
        <w:trPr>
          <w:trHeight w:val="300"/>
        </w:trPr>
        <w:tc>
          <w:tcPr>
            <w:tcW w:w="2088" w:type="dxa"/>
            <w:noWrap/>
            <w:vAlign w:val="center"/>
          </w:tcPr>
          <w:p w:rsidR="00F64512" w:rsidRPr="0017567B" w:rsidRDefault="005B52DC" w:rsidP="00F45AC7">
            <w:pPr>
              <w:spacing w:after="0" w:line="240" w:lineRule="auto"/>
              <w:rPr>
                <w:rFonts w:ascii="Times New Roman" w:hAnsi="Times New Roman"/>
                <w:sz w:val="20"/>
              </w:rPr>
            </w:pPr>
            <w:r w:rsidRPr="005B52DC">
              <w:rPr>
                <w:rFonts w:ascii="Times New Roman" w:hAnsi="Times New Roman"/>
                <w:sz w:val="20"/>
              </w:rPr>
              <w:t>Region</w:t>
            </w:r>
          </w:p>
        </w:tc>
        <w:tc>
          <w:tcPr>
            <w:tcW w:w="4950" w:type="dxa"/>
            <w:vAlign w:val="center"/>
          </w:tcPr>
          <w:p w:rsidR="00F64512" w:rsidRPr="004E665F" w:rsidRDefault="003D5450" w:rsidP="001C59BB">
            <w:pPr>
              <w:spacing w:after="0" w:line="240" w:lineRule="auto"/>
              <w:rPr>
                <w:rFonts w:ascii="Times New Roman" w:hAnsi="Times New Roman"/>
                <w:sz w:val="20"/>
                <w:szCs w:val="20"/>
              </w:rPr>
            </w:pPr>
            <w:r w:rsidRPr="004E665F">
              <w:rPr>
                <w:rFonts w:ascii="Times New Roman" w:hAnsi="Times New Roman"/>
                <w:sz w:val="20"/>
                <w:szCs w:val="20"/>
              </w:rPr>
              <w:t xml:space="preserve">Sample </w:t>
            </w:r>
            <w:r w:rsidR="001C59BB" w:rsidRPr="004E665F">
              <w:rPr>
                <w:rFonts w:ascii="Times New Roman" w:hAnsi="Times New Roman"/>
                <w:sz w:val="20"/>
                <w:szCs w:val="20"/>
              </w:rPr>
              <w:t>origin (region)</w:t>
            </w:r>
          </w:p>
        </w:tc>
        <w:tc>
          <w:tcPr>
            <w:tcW w:w="1890" w:type="dxa"/>
            <w:vAlign w:val="center"/>
          </w:tcPr>
          <w:p w:rsidR="00F64512" w:rsidRPr="0017567B" w:rsidRDefault="00081C53" w:rsidP="00F45AC7">
            <w:pPr>
              <w:spacing w:after="0" w:line="240" w:lineRule="auto"/>
              <w:rPr>
                <w:rFonts w:ascii="Times New Roman" w:hAnsi="Times New Roman"/>
                <w:sz w:val="20"/>
              </w:rPr>
            </w:pPr>
            <w:r>
              <w:rPr>
                <w:rFonts w:ascii="Times New Roman" w:hAnsi="Times New Roman"/>
                <w:sz w:val="20"/>
              </w:rPr>
              <w:t>Text</w:t>
            </w:r>
          </w:p>
        </w:tc>
      </w:tr>
      <w:tr w:rsidR="005B52DC" w:rsidRPr="0017567B" w:rsidTr="00F45AC7">
        <w:trPr>
          <w:trHeight w:val="300"/>
        </w:trPr>
        <w:tc>
          <w:tcPr>
            <w:tcW w:w="2088" w:type="dxa"/>
            <w:noWrap/>
            <w:vAlign w:val="center"/>
          </w:tcPr>
          <w:p w:rsidR="005B52DC" w:rsidRPr="0017567B" w:rsidRDefault="005B52DC" w:rsidP="00F45AC7">
            <w:pPr>
              <w:spacing w:after="0" w:line="240" w:lineRule="auto"/>
              <w:rPr>
                <w:rFonts w:ascii="Times New Roman" w:hAnsi="Times New Roman"/>
                <w:sz w:val="20"/>
              </w:rPr>
            </w:pPr>
            <w:r w:rsidRPr="005B52DC">
              <w:rPr>
                <w:rFonts w:ascii="Times New Roman" w:hAnsi="Times New Roman"/>
                <w:sz w:val="20"/>
              </w:rPr>
              <w:t>Site</w:t>
            </w:r>
          </w:p>
        </w:tc>
        <w:tc>
          <w:tcPr>
            <w:tcW w:w="4950" w:type="dxa"/>
            <w:vAlign w:val="center"/>
          </w:tcPr>
          <w:p w:rsidR="005B52DC" w:rsidRPr="004E665F" w:rsidRDefault="001C59BB" w:rsidP="00410074">
            <w:pPr>
              <w:spacing w:after="0" w:line="240" w:lineRule="auto"/>
              <w:rPr>
                <w:rFonts w:ascii="Times New Roman" w:hAnsi="Times New Roman"/>
                <w:sz w:val="20"/>
                <w:szCs w:val="20"/>
              </w:rPr>
            </w:pPr>
            <w:r w:rsidRPr="004E665F">
              <w:rPr>
                <w:rFonts w:ascii="Times New Roman" w:hAnsi="Times New Roman"/>
                <w:sz w:val="20"/>
                <w:szCs w:val="20"/>
              </w:rPr>
              <w:t>Sample origin (</w:t>
            </w:r>
            <w:r w:rsidR="00410074" w:rsidRPr="004E665F">
              <w:rPr>
                <w:rFonts w:ascii="Times New Roman" w:hAnsi="Times New Roman"/>
                <w:sz w:val="20"/>
                <w:szCs w:val="20"/>
              </w:rPr>
              <w:t>s</w:t>
            </w:r>
            <w:r w:rsidRPr="004E665F">
              <w:rPr>
                <w:rFonts w:ascii="Times New Roman" w:hAnsi="Times New Roman"/>
                <w:sz w:val="20"/>
                <w:szCs w:val="20"/>
              </w:rPr>
              <w:t>ite inside the region, if applicable)</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Text</w:t>
            </w:r>
          </w:p>
        </w:tc>
      </w:tr>
      <w:tr w:rsidR="005B52DC" w:rsidRPr="0017567B" w:rsidTr="00F45AC7">
        <w:trPr>
          <w:trHeight w:val="300"/>
        </w:trPr>
        <w:tc>
          <w:tcPr>
            <w:tcW w:w="2088" w:type="dxa"/>
            <w:noWrap/>
            <w:vAlign w:val="center"/>
          </w:tcPr>
          <w:p w:rsidR="005B52DC" w:rsidRPr="0017567B" w:rsidRDefault="005B52DC" w:rsidP="00483E69">
            <w:pPr>
              <w:spacing w:after="0" w:line="240" w:lineRule="auto"/>
              <w:rPr>
                <w:rFonts w:ascii="Times New Roman" w:hAnsi="Times New Roman"/>
                <w:sz w:val="20"/>
              </w:rPr>
            </w:pPr>
            <w:r w:rsidRPr="005B52DC">
              <w:rPr>
                <w:rFonts w:ascii="Times New Roman" w:hAnsi="Times New Roman"/>
                <w:sz w:val="20"/>
              </w:rPr>
              <w:t xml:space="preserve">Ponds </w:t>
            </w:r>
            <w:r w:rsidR="00483E69">
              <w:rPr>
                <w:rFonts w:ascii="Times New Roman" w:hAnsi="Times New Roman"/>
                <w:sz w:val="20"/>
              </w:rPr>
              <w:t>n</w:t>
            </w:r>
            <w:r w:rsidRPr="005B52DC">
              <w:rPr>
                <w:rFonts w:ascii="Times New Roman" w:hAnsi="Times New Roman"/>
                <w:sz w:val="20"/>
              </w:rPr>
              <w:t>ame</w:t>
            </w:r>
          </w:p>
        </w:tc>
        <w:tc>
          <w:tcPr>
            <w:tcW w:w="4950" w:type="dxa"/>
            <w:vAlign w:val="center"/>
          </w:tcPr>
          <w:p w:rsidR="005B52DC" w:rsidRPr="004E665F" w:rsidRDefault="00F44987" w:rsidP="00F45AC7">
            <w:pPr>
              <w:spacing w:after="0" w:line="240" w:lineRule="auto"/>
              <w:rPr>
                <w:rFonts w:ascii="Times New Roman" w:hAnsi="Times New Roman"/>
                <w:sz w:val="20"/>
                <w:szCs w:val="20"/>
              </w:rPr>
            </w:pPr>
            <w:r w:rsidRPr="004E665F">
              <w:rPr>
                <w:rFonts w:ascii="Times New Roman" w:hAnsi="Times New Roman"/>
                <w:sz w:val="20"/>
                <w:szCs w:val="20"/>
              </w:rPr>
              <w:t>Name of the pond</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Text</w:t>
            </w:r>
          </w:p>
        </w:tc>
      </w:tr>
      <w:tr w:rsidR="005B52DC" w:rsidRPr="0017567B" w:rsidTr="00F45AC7">
        <w:trPr>
          <w:trHeight w:val="300"/>
        </w:trPr>
        <w:tc>
          <w:tcPr>
            <w:tcW w:w="2088" w:type="dxa"/>
            <w:noWrap/>
            <w:vAlign w:val="center"/>
          </w:tcPr>
          <w:p w:rsidR="005B52DC" w:rsidRPr="0017567B" w:rsidRDefault="005B52DC" w:rsidP="00483E69">
            <w:pPr>
              <w:spacing w:after="0" w:line="240" w:lineRule="auto"/>
              <w:rPr>
                <w:rFonts w:ascii="Times New Roman" w:hAnsi="Times New Roman"/>
                <w:sz w:val="20"/>
              </w:rPr>
            </w:pPr>
            <w:r w:rsidRPr="005B52DC">
              <w:rPr>
                <w:rFonts w:ascii="Times New Roman" w:hAnsi="Times New Roman"/>
                <w:sz w:val="20"/>
              </w:rPr>
              <w:t xml:space="preserve">Type of </w:t>
            </w:r>
            <w:r w:rsidR="00483E69">
              <w:rPr>
                <w:rFonts w:ascii="Times New Roman" w:hAnsi="Times New Roman"/>
                <w:sz w:val="20"/>
              </w:rPr>
              <w:t>p</w:t>
            </w:r>
            <w:r w:rsidRPr="005B52DC">
              <w:rPr>
                <w:rFonts w:ascii="Times New Roman" w:hAnsi="Times New Roman"/>
                <w:sz w:val="20"/>
              </w:rPr>
              <w:t>onds</w:t>
            </w:r>
          </w:p>
        </w:tc>
        <w:tc>
          <w:tcPr>
            <w:tcW w:w="4950" w:type="dxa"/>
            <w:vAlign w:val="center"/>
          </w:tcPr>
          <w:p w:rsidR="001C59BB" w:rsidRPr="004E665F" w:rsidRDefault="001C59BB" w:rsidP="00F45AC7">
            <w:pPr>
              <w:spacing w:after="0" w:line="240" w:lineRule="auto"/>
              <w:rPr>
                <w:rFonts w:ascii="Times New Roman" w:hAnsi="Times New Roman"/>
                <w:sz w:val="20"/>
                <w:szCs w:val="20"/>
              </w:rPr>
            </w:pPr>
            <w:r w:rsidRPr="004E665F">
              <w:rPr>
                <w:rFonts w:ascii="Times New Roman" w:hAnsi="Times New Roman"/>
                <w:sz w:val="20"/>
                <w:szCs w:val="20"/>
              </w:rPr>
              <w:t>The type of pond (</w:t>
            </w:r>
            <w:r w:rsidRPr="004E665F">
              <w:rPr>
                <w:rFonts w:ascii="Times New Roman" w:hAnsi="Times New Roman"/>
                <w:i/>
                <w:sz w:val="20"/>
                <w:szCs w:val="20"/>
              </w:rPr>
              <w:t>Thaw</w:t>
            </w:r>
            <w:r w:rsidRPr="004E665F">
              <w:rPr>
                <w:rFonts w:ascii="Times New Roman" w:hAnsi="Times New Roman"/>
                <w:sz w:val="20"/>
                <w:szCs w:val="20"/>
              </w:rPr>
              <w:t xml:space="preserve">, </w:t>
            </w:r>
            <w:r w:rsidRPr="004E665F">
              <w:rPr>
                <w:rFonts w:ascii="Times New Roman" w:hAnsi="Times New Roman"/>
                <w:i/>
                <w:sz w:val="20"/>
                <w:szCs w:val="20"/>
              </w:rPr>
              <w:t>Tundra</w:t>
            </w:r>
            <w:r w:rsidRPr="004E665F">
              <w:rPr>
                <w:rFonts w:ascii="Times New Roman" w:hAnsi="Times New Roman"/>
                <w:sz w:val="20"/>
                <w:szCs w:val="20"/>
              </w:rPr>
              <w:t xml:space="preserve"> or </w:t>
            </w:r>
            <w:r w:rsidRPr="004E665F">
              <w:rPr>
                <w:rFonts w:ascii="Times New Roman" w:hAnsi="Times New Roman"/>
                <w:i/>
                <w:sz w:val="20"/>
                <w:szCs w:val="20"/>
              </w:rPr>
              <w:t>Bedrock</w:t>
            </w:r>
            <w:r w:rsidRPr="004E665F">
              <w:rPr>
                <w:rFonts w:ascii="Times New Roman" w:hAnsi="Times New Roman"/>
                <w:sz w:val="20"/>
                <w:szCs w:val="20"/>
              </w:rPr>
              <w:t>)</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Text</w:t>
            </w:r>
          </w:p>
        </w:tc>
      </w:tr>
      <w:tr w:rsidR="005B52DC" w:rsidRPr="0017567B" w:rsidTr="00F45AC7">
        <w:trPr>
          <w:trHeight w:val="300"/>
        </w:trPr>
        <w:tc>
          <w:tcPr>
            <w:tcW w:w="2088" w:type="dxa"/>
            <w:noWrap/>
            <w:vAlign w:val="center"/>
          </w:tcPr>
          <w:p w:rsidR="005B52DC" w:rsidRPr="0017567B" w:rsidRDefault="005B52DC" w:rsidP="00F45AC7">
            <w:pPr>
              <w:spacing w:after="0" w:line="240" w:lineRule="auto"/>
              <w:rPr>
                <w:rFonts w:ascii="Times New Roman" w:hAnsi="Times New Roman"/>
                <w:sz w:val="20"/>
              </w:rPr>
            </w:pPr>
            <w:r w:rsidRPr="005B52DC">
              <w:rPr>
                <w:rFonts w:ascii="Times New Roman" w:hAnsi="Times New Roman"/>
                <w:sz w:val="20"/>
              </w:rPr>
              <w:t>Chla</w:t>
            </w:r>
          </w:p>
        </w:tc>
        <w:tc>
          <w:tcPr>
            <w:tcW w:w="4950" w:type="dxa"/>
            <w:vAlign w:val="center"/>
          </w:tcPr>
          <w:p w:rsidR="005B52DC" w:rsidRPr="004E665F" w:rsidRDefault="004E665F" w:rsidP="004E665F">
            <w:pPr>
              <w:spacing w:after="0" w:line="240" w:lineRule="auto"/>
              <w:rPr>
                <w:rFonts w:ascii="Times New Roman" w:hAnsi="Times New Roman"/>
                <w:sz w:val="20"/>
                <w:szCs w:val="20"/>
              </w:rPr>
            </w:pPr>
            <w:r>
              <w:rPr>
                <w:rFonts w:ascii="Times New Roman" w:hAnsi="Times New Roman"/>
                <w:sz w:val="20"/>
                <w:szCs w:val="20"/>
              </w:rPr>
              <w:t>P</w:t>
            </w:r>
            <w:r w:rsidR="007E2CB0">
              <w:rPr>
                <w:rFonts w:ascii="Times New Roman" w:hAnsi="Times New Roman"/>
                <w:sz w:val="20"/>
                <w:szCs w:val="20"/>
              </w:rPr>
              <w:t xml:space="preserve">elagic chlorophyll </w:t>
            </w:r>
            <w:r w:rsidR="007E2CB0" w:rsidRPr="007E2CB0">
              <w:rPr>
                <w:rFonts w:ascii="Times New Roman" w:hAnsi="Times New Roman"/>
                <w:i/>
                <w:sz w:val="20"/>
                <w:szCs w:val="20"/>
              </w:rPr>
              <w:t>a</w:t>
            </w:r>
            <w:r>
              <w:rPr>
                <w:rFonts w:ascii="Times New Roman" w:hAnsi="Times New Roman"/>
                <w:sz w:val="20"/>
                <w:szCs w:val="20"/>
              </w:rPr>
              <w:t xml:space="preserve"> </w:t>
            </w:r>
            <w:r w:rsidRPr="004E665F">
              <w:rPr>
                <w:rFonts w:ascii="Times New Roman" w:hAnsi="Times New Roman"/>
                <w:sz w:val="20"/>
                <w:szCs w:val="20"/>
              </w:rPr>
              <w:t>concentration</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µg L</w:t>
            </w:r>
            <w:r w:rsidRPr="00081C53">
              <w:rPr>
                <w:rFonts w:ascii="Times New Roman" w:hAnsi="Times New Roman"/>
                <w:sz w:val="20"/>
                <w:vertAlign w:val="superscript"/>
              </w:rPr>
              <w:t>-1</w:t>
            </w:r>
          </w:p>
        </w:tc>
      </w:tr>
      <w:tr w:rsidR="005B52DC" w:rsidRPr="0017567B" w:rsidTr="00F45AC7">
        <w:trPr>
          <w:trHeight w:val="300"/>
        </w:trPr>
        <w:tc>
          <w:tcPr>
            <w:tcW w:w="2088" w:type="dxa"/>
            <w:noWrap/>
            <w:vAlign w:val="center"/>
          </w:tcPr>
          <w:p w:rsidR="005B52DC" w:rsidRPr="0017567B" w:rsidRDefault="005B52DC" w:rsidP="00F45AC7">
            <w:pPr>
              <w:spacing w:after="0" w:line="240" w:lineRule="auto"/>
              <w:rPr>
                <w:rFonts w:ascii="Times New Roman" w:hAnsi="Times New Roman"/>
                <w:sz w:val="20"/>
              </w:rPr>
            </w:pPr>
            <w:r w:rsidRPr="005B52DC">
              <w:rPr>
                <w:rFonts w:ascii="Times New Roman" w:hAnsi="Times New Roman"/>
                <w:sz w:val="20"/>
              </w:rPr>
              <w:t>pH</w:t>
            </w:r>
          </w:p>
        </w:tc>
        <w:tc>
          <w:tcPr>
            <w:tcW w:w="4950" w:type="dxa"/>
            <w:vAlign w:val="center"/>
          </w:tcPr>
          <w:p w:rsidR="005B52DC" w:rsidRPr="004E665F" w:rsidRDefault="001C59BB" w:rsidP="004E665F">
            <w:pPr>
              <w:spacing w:after="0" w:line="240" w:lineRule="auto"/>
              <w:rPr>
                <w:rFonts w:ascii="Times New Roman" w:hAnsi="Times New Roman"/>
                <w:sz w:val="20"/>
                <w:szCs w:val="20"/>
              </w:rPr>
            </w:pPr>
            <w:r w:rsidRPr="004E665F">
              <w:rPr>
                <w:rFonts w:ascii="Times New Roman" w:hAnsi="Times New Roman"/>
                <w:sz w:val="20"/>
                <w:szCs w:val="20"/>
              </w:rPr>
              <w:t>Potential of hydrogen</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n/a</w:t>
            </w:r>
          </w:p>
        </w:tc>
      </w:tr>
      <w:tr w:rsidR="005B52DC" w:rsidRPr="0017567B" w:rsidTr="00F45AC7">
        <w:trPr>
          <w:trHeight w:val="300"/>
        </w:trPr>
        <w:tc>
          <w:tcPr>
            <w:tcW w:w="2088" w:type="dxa"/>
            <w:noWrap/>
            <w:vAlign w:val="center"/>
          </w:tcPr>
          <w:p w:rsidR="005B52DC" w:rsidRPr="00A2538E" w:rsidRDefault="005B52DC" w:rsidP="00F45AC7">
            <w:pPr>
              <w:spacing w:after="0" w:line="240" w:lineRule="auto"/>
              <w:rPr>
                <w:rFonts w:ascii="Times New Roman" w:hAnsi="Times New Roman"/>
                <w:sz w:val="20"/>
              </w:rPr>
            </w:pPr>
            <w:r w:rsidRPr="005B52DC">
              <w:rPr>
                <w:rFonts w:ascii="Times New Roman" w:hAnsi="Times New Roman"/>
                <w:sz w:val="20"/>
              </w:rPr>
              <w:t>Fe</w:t>
            </w:r>
          </w:p>
        </w:tc>
        <w:tc>
          <w:tcPr>
            <w:tcW w:w="4950" w:type="dxa"/>
            <w:vAlign w:val="center"/>
          </w:tcPr>
          <w:p w:rsidR="005B52DC" w:rsidRPr="004E665F" w:rsidRDefault="004E665F" w:rsidP="00235A72">
            <w:pPr>
              <w:spacing w:after="0" w:line="240" w:lineRule="auto"/>
              <w:rPr>
                <w:rFonts w:ascii="Times New Roman" w:hAnsi="Times New Roman"/>
                <w:sz w:val="20"/>
                <w:szCs w:val="20"/>
              </w:rPr>
            </w:pPr>
            <w:r w:rsidRPr="004E665F">
              <w:rPr>
                <w:rFonts w:ascii="Times New Roman" w:hAnsi="Times New Roman"/>
                <w:sz w:val="20"/>
                <w:szCs w:val="20"/>
              </w:rPr>
              <w:t>Total dissolved iron</w:t>
            </w:r>
            <w:r>
              <w:rPr>
                <w:rFonts w:ascii="Times New Roman" w:hAnsi="Times New Roman"/>
                <w:sz w:val="20"/>
                <w:szCs w:val="20"/>
              </w:rPr>
              <w:t xml:space="preserve"> concentration</w:t>
            </w:r>
            <w:r w:rsidR="00235A72">
              <w:rPr>
                <w:rFonts w:ascii="Times New Roman" w:hAnsi="Times New Roman"/>
                <w:sz w:val="20"/>
                <w:szCs w:val="20"/>
              </w:rPr>
              <w:t>. For ponds without Fe measures, we used mean values from the literature</w:t>
            </w:r>
            <w:r w:rsidR="009C7AF3">
              <w:rPr>
                <w:rFonts w:ascii="Times New Roman" w:hAnsi="Times New Roman"/>
                <w:sz w:val="20"/>
                <w:szCs w:val="20"/>
              </w:rPr>
              <w:t>, if they</w:t>
            </w:r>
            <w:r w:rsidR="00C358B5">
              <w:rPr>
                <w:rFonts w:ascii="Times New Roman" w:hAnsi="Times New Roman"/>
                <w:sz w:val="20"/>
                <w:szCs w:val="20"/>
              </w:rPr>
              <w:t xml:space="preserve"> exist</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mg L</w:t>
            </w:r>
            <w:r w:rsidRPr="00081C53">
              <w:rPr>
                <w:rFonts w:ascii="Times New Roman" w:hAnsi="Times New Roman"/>
                <w:sz w:val="20"/>
                <w:vertAlign w:val="superscript"/>
              </w:rPr>
              <w:t>-1</w:t>
            </w:r>
          </w:p>
        </w:tc>
      </w:tr>
      <w:tr w:rsidR="005B52DC" w:rsidRPr="0017567B" w:rsidTr="00F45AC7">
        <w:trPr>
          <w:trHeight w:val="300"/>
        </w:trPr>
        <w:tc>
          <w:tcPr>
            <w:tcW w:w="2088" w:type="dxa"/>
            <w:noWrap/>
            <w:vAlign w:val="center"/>
          </w:tcPr>
          <w:p w:rsidR="005B52DC" w:rsidRPr="0017567B" w:rsidRDefault="005B52DC" w:rsidP="00F45AC7">
            <w:pPr>
              <w:spacing w:after="0" w:line="240" w:lineRule="auto"/>
              <w:rPr>
                <w:rFonts w:ascii="Times New Roman" w:hAnsi="Times New Roman"/>
                <w:sz w:val="20"/>
              </w:rPr>
            </w:pPr>
            <w:r>
              <w:rPr>
                <w:rFonts w:ascii="Times New Roman" w:hAnsi="Times New Roman"/>
                <w:sz w:val="20"/>
              </w:rPr>
              <w:t>TP</w:t>
            </w:r>
          </w:p>
        </w:tc>
        <w:tc>
          <w:tcPr>
            <w:tcW w:w="4950" w:type="dxa"/>
            <w:vAlign w:val="center"/>
          </w:tcPr>
          <w:p w:rsidR="005B52DC" w:rsidRPr="004E665F" w:rsidRDefault="001C59BB" w:rsidP="004E665F">
            <w:pPr>
              <w:spacing w:after="0" w:line="240" w:lineRule="auto"/>
              <w:rPr>
                <w:rFonts w:ascii="Times New Roman" w:hAnsi="Times New Roman"/>
                <w:sz w:val="20"/>
                <w:szCs w:val="20"/>
              </w:rPr>
            </w:pPr>
            <w:r w:rsidRPr="004E665F">
              <w:rPr>
                <w:rFonts w:ascii="Times New Roman" w:hAnsi="Times New Roman"/>
                <w:sz w:val="20"/>
                <w:szCs w:val="20"/>
              </w:rPr>
              <w:t>Total phosphorus concentration</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µg L</w:t>
            </w:r>
            <w:r w:rsidRPr="00081C53">
              <w:rPr>
                <w:rFonts w:ascii="Times New Roman" w:hAnsi="Times New Roman"/>
                <w:sz w:val="20"/>
                <w:vertAlign w:val="superscript"/>
              </w:rPr>
              <w:t>-1</w:t>
            </w:r>
          </w:p>
        </w:tc>
      </w:tr>
      <w:tr w:rsidR="005B52DC" w:rsidRPr="0017567B" w:rsidTr="00F45AC7">
        <w:trPr>
          <w:trHeight w:val="300"/>
        </w:trPr>
        <w:tc>
          <w:tcPr>
            <w:tcW w:w="2088" w:type="dxa"/>
            <w:noWrap/>
            <w:vAlign w:val="center"/>
          </w:tcPr>
          <w:p w:rsidR="005B52DC" w:rsidRPr="0017567B" w:rsidRDefault="005B52DC" w:rsidP="00F45AC7">
            <w:pPr>
              <w:spacing w:after="0" w:line="240" w:lineRule="auto"/>
              <w:rPr>
                <w:rFonts w:ascii="Times New Roman" w:hAnsi="Times New Roman"/>
                <w:sz w:val="20"/>
              </w:rPr>
            </w:pPr>
            <w:r>
              <w:rPr>
                <w:rFonts w:ascii="Times New Roman" w:hAnsi="Times New Roman"/>
                <w:sz w:val="20"/>
              </w:rPr>
              <w:t>TN</w:t>
            </w:r>
          </w:p>
        </w:tc>
        <w:tc>
          <w:tcPr>
            <w:tcW w:w="4950" w:type="dxa"/>
            <w:vAlign w:val="center"/>
          </w:tcPr>
          <w:p w:rsidR="005B52DC" w:rsidRPr="004E665F" w:rsidRDefault="001C59BB" w:rsidP="004E665F">
            <w:pPr>
              <w:spacing w:after="0" w:line="240" w:lineRule="auto"/>
              <w:rPr>
                <w:rFonts w:ascii="Times New Roman" w:hAnsi="Times New Roman"/>
                <w:sz w:val="20"/>
                <w:szCs w:val="20"/>
              </w:rPr>
            </w:pPr>
            <w:r w:rsidRPr="004E665F">
              <w:rPr>
                <w:rFonts w:ascii="Times New Roman" w:hAnsi="Times New Roman"/>
                <w:sz w:val="20"/>
                <w:szCs w:val="20"/>
              </w:rPr>
              <w:t>Total nitrogen concentration</w:t>
            </w:r>
          </w:p>
        </w:tc>
        <w:tc>
          <w:tcPr>
            <w:tcW w:w="1890" w:type="dxa"/>
            <w:vAlign w:val="center"/>
          </w:tcPr>
          <w:p w:rsidR="005B52DC" w:rsidRPr="0017567B" w:rsidRDefault="00081C53" w:rsidP="00F45AC7">
            <w:pPr>
              <w:spacing w:after="0" w:line="240" w:lineRule="auto"/>
              <w:rPr>
                <w:rFonts w:ascii="Times New Roman" w:hAnsi="Times New Roman"/>
                <w:sz w:val="20"/>
              </w:rPr>
            </w:pPr>
            <w:r>
              <w:rPr>
                <w:rFonts w:ascii="Times New Roman" w:hAnsi="Times New Roman"/>
                <w:sz w:val="20"/>
              </w:rPr>
              <w:t>mg L</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17567B" w:rsidRDefault="00DC6CBE" w:rsidP="007756E0">
            <w:pPr>
              <w:spacing w:after="0" w:line="240" w:lineRule="auto"/>
              <w:rPr>
                <w:rFonts w:ascii="Times New Roman" w:hAnsi="Times New Roman"/>
                <w:sz w:val="20"/>
              </w:rPr>
            </w:pPr>
            <w:r>
              <w:rPr>
                <w:rFonts w:ascii="Times New Roman" w:hAnsi="Times New Roman"/>
                <w:sz w:val="20"/>
              </w:rPr>
              <w:t>DOC</w:t>
            </w:r>
          </w:p>
        </w:tc>
        <w:tc>
          <w:tcPr>
            <w:tcW w:w="4950" w:type="dxa"/>
            <w:vAlign w:val="center"/>
          </w:tcPr>
          <w:p w:rsidR="00DC6CBE" w:rsidRPr="004E665F" w:rsidRDefault="00DC6CBE" w:rsidP="007756E0">
            <w:pPr>
              <w:spacing w:after="0" w:line="240" w:lineRule="auto"/>
              <w:rPr>
                <w:rFonts w:ascii="Times New Roman" w:hAnsi="Times New Roman"/>
                <w:sz w:val="20"/>
                <w:szCs w:val="20"/>
              </w:rPr>
            </w:pPr>
            <w:r w:rsidRPr="004E665F">
              <w:rPr>
                <w:rFonts w:ascii="Times New Roman" w:hAnsi="Times New Roman"/>
                <w:sz w:val="20"/>
                <w:szCs w:val="20"/>
              </w:rPr>
              <w:t>Dissolved organic carbon concentration</w:t>
            </w:r>
          </w:p>
        </w:tc>
        <w:tc>
          <w:tcPr>
            <w:tcW w:w="1890" w:type="dxa"/>
            <w:vAlign w:val="center"/>
          </w:tcPr>
          <w:p w:rsidR="00DC6CBE" w:rsidRPr="0017567B" w:rsidRDefault="00DC6CBE" w:rsidP="007756E0">
            <w:pPr>
              <w:spacing w:after="0" w:line="240" w:lineRule="auto"/>
              <w:rPr>
                <w:rFonts w:ascii="Times New Roman" w:hAnsi="Times New Roman"/>
                <w:sz w:val="20"/>
              </w:rPr>
            </w:pPr>
            <w:r>
              <w:rPr>
                <w:rFonts w:ascii="Times New Roman" w:hAnsi="Times New Roman"/>
                <w:sz w:val="20"/>
              </w:rPr>
              <w:t>mg L</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sidRPr="005B52DC">
              <w:rPr>
                <w:rFonts w:ascii="Times New Roman" w:hAnsi="Times New Roman"/>
                <w:sz w:val="20"/>
              </w:rPr>
              <w:t>Cuvette size</w:t>
            </w:r>
          </w:p>
        </w:tc>
        <w:tc>
          <w:tcPr>
            <w:tcW w:w="4950" w:type="dxa"/>
            <w:vAlign w:val="center"/>
          </w:tcPr>
          <w:p w:rsidR="00DC6CBE" w:rsidRPr="0017567B" w:rsidRDefault="00DC6CBE" w:rsidP="002A7755">
            <w:pPr>
              <w:spacing w:after="0" w:line="240" w:lineRule="auto"/>
              <w:jc w:val="both"/>
              <w:rPr>
                <w:rFonts w:ascii="Times New Roman" w:hAnsi="Times New Roman"/>
                <w:sz w:val="20"/>
              </w:rPr>
            </w:pPr>
            <w:r>
              <w:rPr>
                <w:rFonts w:ascii="Times New Roman" w:hAnsi="Times New Roman"/>
                <w:sz w:val="20"/>
              </w:rPr>
              <w:t xml:space="preserve">Size of the cuvette used for the absorbance </w:t>
            </w:r>
            <w:r w:rsidR="0094082C">
              <w:rPr>
                <w:rFonts w:ascii="Times New Roman" w:hAnsi="Times New Roman"/>
                <w:sz w:val="20"/>
              </w:rPr>
              <w:t>scans</w:t>
            </w:r>
            <w:r>
              <w:rPr>
                <w:rFonts w:ascii="Times New Roman" w:hAnsi="Times New Roman"/>
                <w:sz w:val="20"/>
              </w:rPr>
              <w:t xml:space="preserve"> </w:t>
            </w:r>
            <w:r w:rsidR="002A7755">
              <w:rPr>
                <w:rFonts w:ascii="Times New Roman" w:hAnsi="Times New Roman"/>
                <w:sz w:val="20"/>
              </w:rPr>
              <w:t>on</w:t>
            </w:r>
            <w:r>
              <w:rPr>
                <w:rFonts w:ascii="Times New Roman" w:hAnsi="Times New Roman"/>
                <w:sz w:val="20"/>
              </w:rPr>
              <w:t xml:space="preserve"> the spectrophotometer (2 sizes: 1 or 10 cm)</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cm</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SUVA</w:t>
            </w:r>
            <w:r w:rsidRPr="00C358B5">
              <w:rPr>
                <w:rFonts w:ascii="Times New Roman" w:hAnsi="Times New Roman"/>
                <w:sz w:val="20"/>
              </w:rPr>
              <w:t>254</w:t>
            </w:r>
          </w:p>
        </w:tc>
        <w:tc>
          <w:tcPr>
            <w:tcW w:w="4950" w:type="dxa"/>
            <w:vAlign w:val="center"/>
          </w:tcPr>
          <w:p w:rsidR="00DC6CBE" w:rsidRPr="004C3CF1" w:rsidRDefault="00DC6CBE" w:rsidP="00987B6A">
            <w:pPr>
              <w:spacing w:after="0" w:line="240" w:lineRule="auto"/>
              <w:jc w:val="both"/>
              <w:rPr>
                <w:rFonts w:ascii="Times New Roman" w:hAnsi="Times New Roman"/>
                <w:sz w:val="20"/>
              </w:rPr>
            </w:pPr>
            <w:r w:rsidRPr="004C3CF1">
              <w:rPr>
                <w:rFonts w:ascii="Times New Roman" w:hAnsi="Times New Roman"/>
                <w:sz w:val="20"/>
              </w:rPr>
              <w:t>Specific ultraviolet absorbance at 254 nm from DOC normalized A</w:t>
            </w:r>
            <w:r w:rsidRPr="004C3CF1">
              <w:rPr>
                <w:rFonts w:ascii="Times New Roman" w:hAnsi="Times New Roman"/>
                <w:sz w:val="20"/>
                <w:vertAlign w:val="subscript"/>
              </w:rPr>
              <w:t>254</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L mgC</w:t>
            </w:r>
            <w:r w:rsidRPr="00081C53">
              <w:rPr>
                <w:rFonts w:ascii="Times New Roman" w:hAnsi="Times New Roman"/>
                <w:sz w:val="20"/>
                <w:vertAlign w:val="superscript"/>
              </w:rPr>
              <w:t>-1</w:t>
            </w:r>
            <w:r>
              <w:rPr>
                <w:rFonts w:ascii="Times New Roman" w:hAnsi="Times New Roman"/>
                <w:sz w:val="20"/>
              </w:rPr>
              <w:t xml:space="preserve"> m</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4C3CF1" w:rsidRDefault="00DC6CBE" w:rsidP="00F45AC7">
            <w:pPr>
              <w:spacing w:after="0" w:line="240" w:lineRule="auto"/>
              <w:rPr>
                <w:rFonts w:ascii="Times New Roman" w:hAnsi="Times New Roman"/>
                <w:sz w:val="20"/>
                <w:szCs w:val="20"/>
              </w:rPr>
            </w:pPr>
            <w:r w:rsidRPr="004C3CF1">
              <w:rPr>
                <w:rFonts w:ascii="Times New Roman" w:hAnsi="Times New Roman"/>
                <w:sz w:val="20"/>
                <w:szCs w:val="20"/>
              </w:rPr>
              <w:lastRenderedPageBreak/>
              <w:t>a</w:t>
            </w:r>
            <w:r w:rsidRPr="00C358B5">
              <w:rPr>
                <w:rFonts w:ascii="Times New Roman" w:hAnsi="Times New Roman"/>
                <w:sz w:val="20"/>
                <w:szCs w:val="20"/>
              </w:rPr>
              <w:t>320</w:t>
            </w:r>
          </w:p>
        </w:tc>
        <w:tc>
          <w:tcPr>
            <w:tcW w:w="4950" w:type="dxa"/>
            <w:vAlign w:val="center"/>
          </w:tcPr>
          <w:p w:rsidR="00DC6CBE" w:rsidRPr="004C3CF1" w:rsidRDefault="00DC6CBE" w:rsidP="00987B6A">
            <w:pPr>
              <w:spacing w:after="0" w:line="240" w:lineRule="auto"/>
              <w:jc w:val="both"/>
              <w:rPr>
                <w:rFonts w:ascii="Times New Roman" w:hAnsi="Times New Roman"/>
                <w:sz w:val="20"/>
                <w:szCs w:val="20"/>
              </w:rPr>
            </w:pPr>
            <w:r w:rsidRPr="004C3CF1">
              <w:rPr>
                <w:rFonts w:ascii="Times New Roman" w:hAnsi="Times New Roman"/>
                <w:sz w:val="20"/>
                <w:szCs w:val="20"/>
              </w:rPr>
              <w:t>Absorption coefficient at 320 nm wavelength</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m</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a</w:t>
            </w:r>
            <w:r w:rsidRPr="00C358B5">
              <w:rPr>
                <w:rFonts w:ascii="Times New Roman" w:hAnsi="Times New Roman"/>
                <w:sz w:val="20"/>
              </w:rPr>
              <w:t>440</w:t>
            </w:r>
          </w:p>
        </w:tc>
        <w:tc>
          <w:tcPr>
            <w:tcW w:w="4950" w:type="dxa"/>
            <w:vAlign w:val="center"/>
          </w:tcPr>
          <w:p w:rsidR="00DC6CBE" w:rsidRPr="004C3CF1" w:rsidRDefault="00DC6CBE" w:rsidP="00987B6A">
            <w:pPr>
              <w:spacing w:after="0" w:line="240" w:lineRule="auto"/>
              <w:jc w:val="both"/>
              <w:rPr>
                <w:rFonts w:ascii="Times New Roman" w:hAnsi="Times New Roman"/>
                <w:sz w:val="20"/>
                <w:szCs w:val="20"/>
              </w:rPr>
            </w:pPr>
            <w:r w:rsidRPr="004C3CF1">
              <w:rPr>
                <w:rFonts w:ascii="Times New Roman" w:hAnsi="Times New Roman"/>
                <w:sz w:val="20"/>
                <w:szCs w:val="20"/>
              </w:rPr>
              <w:t>Absorption coefficient at 440 nm wavelength</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m</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sidRPr="005B52DC">
              <w:rPr>
                <w:rFonts w:ascii="Times New Roman" w:hAnsi="Times New Roman"/>
                <w:sz w:val="20"/>
              </w:rPr>
              <w:t>S</w:t>
            </w:r>
            <w:r w:rsidRPr="00C358B5">
              <w:rPr>
                <w:rFonts w:ascii="Times New Roman" w:hAnsi="Times New Roman"/>
                <w:sz w:val="20"/>
              </w:rPr>
              <w:t>R</w:t>
            </w:r>
          </w:p>
        </w:tc>
        <w:tc>
          <w:tcPr>
            <w:tcW w:w="4950" w:type="dxa"/>
            <w:vAlign w:val="center"/>
          </w:tcPr>
          <w:p w:rsidR="00DC6CBE" w:rsidRPr="004C3CF1" w:rsidRDefault="00DC6CBE" w:rsidP="00987B6A">
            <w:pPr>
              <w:spacing w:after="0" w:line="240" w:lineRule="auto"/>
              <w:jc w:val="both"/>
              <w:rPr>
                <w:rFonts w:ascii="Times New Roman" w:hAnsi="Times New Roman"/>
                <w:sz w:val="20"/>
                <w:szCs w:val="20"/>
              </w:rPr>
            </w:pPr>
            <w:r w:rsidRPr="004C3CF1">
              <w:rPr>
                <w:rFonts w:ascii="Times New Roman" w:hAnsi="Times New Roman"/>
                <w:sz w:val="20"/>
                <w:szCs w:val="20"/>
              </w:rPr>
              <w:t>Slope ratio, which is the ratio S</w:t>
            </w:r>
            <w:r w:rsidRPr="004C3CF1">
              <w:rPr>
                <w:rFonts w:ascii="Times New Roman" w:hAnsi="Times New Roman"/>
                <w:sz w:val="20"/>
                <w:szCs w:val="20"/>
                <w:vertAlign w:val="subscript"/>
              </w:rPr>
              <w:t>285</w:t>
            </w:r>
            <w:r w:rsidRPr="004C3CF1">
              <w:rPr>
                <w:rFonts w:ascii="Times New Roman" w:hAnsi="Times New Roman"/>
                <w:sz w:val="20"/>
                <w:szCs w:val="20"/>
              </w:rPr>
              <w:t>/S</w:t>
            </w:r>
            <w:r w:rsidRPr="004C3CF1">
              <w:rPr>
                <w:rFonts w:ascii="Times New Roman" w:hAnsi="Times New Roman"/>
                <w:sz w:val="20"/>
                <w:szCs w:val="20"/>
                <w:vertAlign w:val="subscript"/>
              </w:rPr>
              <w:t>375</w:t>
            </w:r>
            <w:r w:rsidRPr="004C3CF1">
              <w:rPr>
                <w:rFonts w:ascii="Times New Roman" w:hAnsi="Times New Roman"/>
                <w:sz w:val="20"/>
                <w:szCs w:val="20"/>
              </w:rPr>
              <w:br/>
              <w:t>(S</w:t>
            </w:r>
            <w:r w:rsidRPr="004C3CF1">
              <w:rPr>
                <w:rFonts w:ascii="Times New Roman" w:hAnsi="Times New Roman"/>
                <w:sz w:val="20"/>
                <w:szCs w:val="20"/>
                <w:vertAlign w:val="subscript"/>
              </w:rPr>
              <w:t>285</w:t>
            </w:r>
            <w:r w:rsidRPr="004C3CF1">
              <w:rPr>
                <w:rFonts w:ascii="Times New Roman" w:hAnsi="Times New Roman"/>
                <w:sz w:val="20"/>
                <w:szCs w:val="20"/>
              </w:rPr>
              <w:t xml:space="preserve"> is the spectral slope for the interval 275-295 nm ; (S</w:t>
            </w:r>
            <w:r w:rsidRPr="004C3CF1">
              <w:rPr>
                <w:rFonts w:ascii="Times New Roman" w:hAnsi="Times New Roman"/>
                <w:sz w:val="20"/>
                <w:szCs w:val="20"/>
                <w:vertAlign w:val="subscript"/>
              </w:rPr>
              <w:t>375</w:t>
            </w:r>
            <w:r w:rsidRPr="004C3CF1">
              <w:rPr>
                <w:rFonts w:ascii="Times New Roman" w:hAnsi="Times New Roman"/>
                <w:sz w:val="20"/>
                <w:szCs w:val="20"/>
              </w:rPr>
              <w:t xml:space="preserve"> is the spectral slope for the interval 350-400 nm)</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n/a</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S</w:t>
            </w:r>
            <w:r w:rsidRPr="00C358B5">
              <w:rPr>
                <w:rFonts w:ascii="Times New Roman" w:hAnsi="Times New Roman"/>
                <w:sz w:val="20"/>
              </w:rPr>
              <w:t>289</w:t>
            </w:r>
          </w:p>
        </w:tc>
        <w:tc>
          <w:tcPr>
            <w:tcW w:w="4950" w:type="dxa"/>
            <w:vAlign w:val="center"/>
          </w:tcPr>
          <w:p w:rsidR="00DC6CBE" w:rsidRPr="004C3CF1" w:rsidRDefault="00DC6CBE" w:rsidP="00987B6A">
            <w:pPr>
              <w:spacing w:after="0" w:line="240" w:lineRule="auto"/>
              <w:jc w:val="both"/>
              <w:rPr>
                <w:rFonts w:ascii="Times New Roman" w:hAnsi="Times New Roman"/>
                <w:sz w:val="20"/>
                <w:szCs w:val="20"/>
              </w:rPr>
            </w:pPr>
            <w:r w:rsidRPr="004C3CF1">
              <w:rPr>
                <w:rFonts w:ascii="Times New Roman" w:hAnsi="Times New Roman"/>
                <w:sz w:val="20"/>
                <w:szCs w:val="20"/>
              </w:rPr>
              <w:t>Spectral slope for the interval 279-299 nm</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nm</w:t>
            </w:r>
            <w:r w:rsidRPr="00081C53">
              <w:rPr>
                <w:rFonts w:ascii="Times New Roman" w:hAnsi="Times New Roman"/>
                <w:sz w:val="20"/>
                <w:vertAlign w:val="superscript"/>
              </w:rPr>
              <w:t>-1</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FI</w:t>
            </w:r>
          </w:p>
        </w:tc>
        <w:tc>
          <w:tcPr>
            <w:tcW w:w="4950" w:type="dxa"/>
            <w:vAlign w:val="center"/>
          </w:tcPr>
          <w:p w:rsidR="00DC6CBE" w:rsidRPr="00CA2D4E" w:rsidRDefault="00DC6CBE" w:rsidP="00987B6A">
            <w:pPr>
              <w:spacing w:after="0" w:line="240" w:lineRule="auto"/>
              <w:jc w:val="both"/>
              <w:rPr>
                <w:rFonts w:ascii="Times New Roman" w:hAnsi="Times New Roman"/>
                <w:sz w:val="20"/>
                <w:szCs w:val="20"/>
              </w:rPr>
            </w:pPr>
            <w:r w:rsidRPr="00CA2D4E">
              <w:rPr>
                <w:rFonts w:ascii="Times New Roman" w:hAnsi="Times New Roman"/>
                <w:sz w:val="20"/>
                <w:szCs w:val="20"/>
              </w:rPr>
              <w:t>Fluorescence index, which is</w:t>
            </w:r>
            <w:r w:rsidR="00CA2D4E" w:rsidRPr="00CA2D4E">
              <w:rPr>
                <w:rFonts w:ascii="Times New Roman" w:hAnsi="Times New Roman"/>
                <w:sz w:val="20"/>
                <w:szCs w:val="20"/>
              </w:rPr>
              <w:t xml:space="preserve"> the</w:t>
            </w:r>
            <w:r w:rsidRPr="00CA2D4E">
              <w:rPr>
                <w:rFonts w:ascii="Times New Roman" w:hAnsi="Times New Roman"/>
                <w:sz w:val="20"/>
                <w:szCs w:val="20"/>
              </w:rPr>
              <w:t xml:space="preserve"> </w:t>
            </w:r>
            <w:r w:rsidR="00CA2D4E" w:rsidRPr="00CA2D4E">
              <w:rPr>
                <w:rFonts w:ascii="Times New Roman" w:hAnsi="Times New Roman"/>
                <w:sz w:val="20"/>
                <w:szCs w:val="20"/>
              </w:rPr>
              <w:t>ratio of fluorescence emission intensities at 450 nm and 500 nm for an excitation at 370 nm</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n/a</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[C1]</w:t>
            </w:r>
          </w:p>
        </w:tc>
        <w:tc>
          <w:tcPr>
            <w:tcW w:w="4950" w:type="dxa"/>
            <w:vAlign w:val="center"/>
          </w:tcPr>
          <w:p w:rsidR="00DC6CBE" w:rsidRPr="004C3CF1" w:rsidRDefault="00DC6CBE" w:rsidP="00987B6A">
            <w:pPr>
              <w:spacing w:after="0" w:line="240" w:lineRule="auto"/>
              <w:jc w:val="both"/>
              <w:rPr>
                <w:rFonts w:ascii="Times New Roman" w:hAnsi="Times New Roman"/>
                <w:sz w:val="20"/>
                <w:szCs w:val="20"/>
              </w:rPr>
            </w:pPr>
            <w:r w:rsidRPr="004C3CF1">
              <w:rPr>
                <w:rFonts w:ascii="Times New Roman" w:hAnsi="Times New Roman"/>
                <w:sz w:val="20"/>
                <w:szCs w:val="20"/>
              </w:rPr>
              <w:t xml:space="preserve">Maximum fluorescence of the component </w:t>
            </w:r>
            <w:r>
              <w:rPr>
                <w:rFonts w:ascii="Times New Roman" w:hAnsi="Times New Roman"/>
                <w:sz w:val="20"/>
                <w:szCs w:val="20"/>
              </w:rPr>
              <w:t>C</w:t>
            </w:r>
            <w:r w:rsidRPr="004C3CF1">
              <w:rPr>
                <w:rFonts w:ascii="Times New Roman" w:hAnsi="Times New Roman"/>
                <w:sz w:val="20"/>
                <w:szCs w:val="20"/>
              </w:rPr>
              <w:t>1 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[C2]</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sidRPr="004C3CF1">
              <w:rPr>
                <w:rFonts w:ascii="Times New Roman" w:hAnsi="Times New Roman"/>
                <w:sz w:val="20"/>
                <w:szCs w:val="20"/>
              </w:rPr>
              <w:t xml:space="preserve">Maximum fluorescence of the component </w:t>
            </w:r>
            <w:r>
              <w:rPr>
                <w:rFonts w:ascii="Times New Roman" w:hAnsi="Times New Roman"/>
                <w:sz w:val="20"/>
                <w:szCs w:val="20"/>
              </w:rPr>
              <w:t>C2</w:t>
            </w:r>
            <w:r w:rsidRPr="004C3CF1">
              <w:rPr>
                <w:rFonts w:ascii="Times New Roman" w:hAnsi="Times New Roman"/>
                <w:sz w:val="20"/>
                <w:szCs w:val="20"/>
              </w:rPr>
              <w:t xml:space="preserve"> 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[C3]</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sidRPr="004C3CF1">
              <w:rPr>
                <w:rFonts w:ascii="Times New Roman" w:hAnsi="Times New Roman"/>
                <w:sz w:val="20"/>
                <w:szCs w:val="20"/>
              </w:rPr>
              <w:t xml:space="preserve">Maximum fluorescence of the component </w:t>
            </w:r>
            <w:r>
              <w:rPr>
                <w:rFonts w:ascii="Times New Roman" w:hAnsi="Times New Roman"/>
                <w:sz w:val="20"/>
                <w:szCs w:val="20"/>
              </w:rPr>
              <w:t>C3</w:t>
            </w:r>
            <w:r w:rsidRPr="004C3CF1">
              <w:rPr>
                <w:rFonts w:ascii="Times New Roman" w:hAnsi="Times New Roman"/>
                <w:sz w:val="20"/>
                <w:szCs w:val="20"/>
              </w:rPr>
              <w:t xml:space="preserve"> 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[C4]</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sidRPr="004C3CF1">
              <w:rPr>
                <w:rFonts w:ascii="Times New Roman" w:hAnsi="Times New Roman"/>
                <w:sz w:val="20"/>
                <w:szCs w:val="20"/>
              </w:rPr>
              <w:t xml:space="preserve">Maximum fluorescence of the component </w:t>
            </w:r>
            <w:r>
              <w:rPr>
                <w:rFonts w:ascii="Times New Roman" w:hAnsi="Times New Roman"/>
                <w:sz w:val="20"/>
                <w:szCs w:val="20"/>
              </w:rPr>
              <w:t>C4</w:t>
            </w:r>
            <w:r w:rsidRPr="004C3CF1">
              <w:rPr>
                <w:rFonts w:ascii="Times New Roman" w:hAnsi="Times New Roman"/>
                <w:sz w:val="20"/>
                <w:szCs w:val="20"/>
              </w:rPr>
              <w:t xml:space="preserve"> 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[C5]</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sidRPr="004C3CF1">
              <w:rPr>
                <w:rFonts w:ascii="Times New Roman" w:hAnsi="Times New Roman"/>
                <w:sz w:val="20"/>
                <w:szCs w:val="20"/>
              </w:rPr>
              <w:t xml:space="preserve">Maximum fluorescence of the component </w:t>
            </w:r>
            <w:r>
              <w:rPr>
                <w:rFonts w:ascii="Times New Roman" w:hAnsi="Times New Roman"/>
                <w:sz w:val="20"/>
                <w:szCs w:val="20"/>
              </w:rPr>
              <w:t>C5</w:t>
            </w:r>
            <w:r w:rsidRPr="004C3CF1">
              <w:rPr>
                <w:rFonts w:ascii="Times New Roman" w:hAnsi="Times New Roman"/>
                <w:sz w:val="20"/>
                <w:szCs w:val="20"/>
              </w:rPr>
              <w:t xml:space="preserve"> 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[Total]</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szCs w:val="20"/>
              </w:rPr>
              <w:t>Sum of the m</w:t>
            </w:r>
            <w:r w:rsidRPr="004C3CF1">
              <w:rPr>
                <w:rFonts w:ascii="Times New Roman" w:hAnsi="Times New Roman"/>
                <w:sz w:val="20"/>
                <w:szCs w:val="20"/>
              </w:rPr>
              <w:t xml:space="preserve">aximum fluorescence of the </w:t>
            </w:r>
            <w:r>
              <w:rPr>
                <w:rFonts w:ascii="Times New Roman" w:hAnsi="Times New Roman"/>
                <w:sz w:val="20"/>
                <w:szCs w:val="20"/>
              </w:rPr>
              <w:t xml:space="preserve">5 </w:t>
            </w:r>
            <w:r w:rsidRPr="004C3CF1">
              <w:rPr>
                <w:rFonts w:ascii="Times New Roman" w:hAnsi="Times New Roman"/>
                <w:sz w:val="20"/>
                <w:szCs w:val="20"/>
              </w:rPr>
              <w:t>componen</w:t>
            </w:r>
            <w:r>
              <w:rPr>
                <w:rFonts w:ascii="Times New Roman" w:hAnsi="Times New Roman"/>
                <w:sz w:val="20"/>
                <w:szCs w:val="20"/>
              </w:rPr>
              <w:t>ts</w:t>
            </w:r>
            <w:r w:rsidRPr="004C3CF1">
              <w:rPr>
                <w:rFonts w:ascii="Times New Roman" w:hAnsi="Times New Roman"/>
                <w:sz w:val="20"/>
                <w:szCs w:val="20"/>
              </w:rPr>
              <w:t xml:space="preserve"> identified by our PARAFAC model</w:t>
            </w:r>
            <w:r>
              <w:rPr>
                <w:rFonts w:ascii="Times New Roman" w:hAnsi="Times New Roman"/>
                <w:sz w:val="20"/>
                <w:szCs w:val="20"/>
              </w:rPr>
              <w:t xml:space="preserve"> for the corresponding sample</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Raman units (R.U.)</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%C1</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Relative abundance of the component C1 </w:t>
            </w:r>
            <w:r w:rsidRPr="004C3CF1">
              <w:rPr>
                <w:rFonts w:ascii="Times New Roman" w:hAnsi="Times New Roman"/>
                <w:sz w:val="20"/>
                <w:szCs w:val="20"/>
              </w:rPr>
              <w:t>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%C2</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Relative abundance of the component C2 </w:t>
            </w:r>
            <w:r w:rsidRPr="004C3CF1">
              <w:rPr>
                <w:rFonts w:ascii="Times New Roman" w:hAnsi="Times New Roman"/>
                <w:sz w:val="20"/>
                <w:szCs w:val="20"/>
              </w:rPr>
              <w:t>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%C3</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Relative abundance of the component C3 </w:t>
            </w:r>
            <w:r w:rsidRPr="004C3CF1">
              <w:rPr>
                <w:rFonts w:ascii="Times New Roman" w:hAnsi="Times New Roman"/>
                <w:sz w:val="20"/>
                <w:szCs w:val="20"/>
              </w:rPr>
              <w:t>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%C4</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Relative abundance of the component C4 </w:t>
            </w:r>
            <w:r w:rsidRPr="004C3CF1">
              <w:rPr>
                <w:rFonts w:ascii="Times New Roman" w:hAnsi="Times New Roman"/>
                <w:sz w:val="20"/>
                <w:szCs w:val="20"/>
              </w:rPr>
              <w:t>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%C5</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Relative abundance of the component C5 </w:t>
            </w:r>
            <w:r w:rsidRPr="004C3CF1">
              <w:rPr>
                <w:rFonts w:ascii="Times New Roman" w:hAnsi="Times New Roman"/>
                <w:sz w:val="20"/>
                <w:szCs w:val="20"/>
              </w:rPr>
              <w:t>identified by our PARAFAC model</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r w:rsidR="00DC6CBE" w:rsidRPr="0017567B" w:rsidTr="00F45AC7">
        <w:trPr>
          <w:trHeight w:val="300"/>
        </w:trPr>
        <w:tc>
          <w:tcPr>
            <w:tcW w:w="2088" w:type="dxa"/>
            <w:noWrap/>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%Total</w:t>
            </w:r>
          </w:p>
        </w:tc>
        <w:tc>
          <w:tcPr>
            <w:tcW w:w="4950" w:type="dxa"/>
            <w:vAlign w:val="center"/>
          </w:tcPr>
          <w:p w:rsidR="00DC6CBE" w:rsidRPr="0017567B" w:rsidRDefault="00DC6CBE" w:rsidP="00987B6A">
            <w:pPr>
              <w:spacing w:after="0" w:line="240" w:lineRule="auto"/>
              <w:jc w:val="both"/>
              <w:rPr>
                <w:rFonts w:ascii="Times New Roman" w:hAnsi="Times New Roman"/>
                <w:sz w:val="20"/>
              </w:rPr>
            </w:pPr>
            <w:r>
              <w:rPr>
                <w:rFonts w:ascii="Times New Roman" w:hAnsi="Times New Roman"/>
                <w:sz w:val="20"/>
              </w:rPr>
              <w:t xml:space="preserve">Sum of the relative abundance of the 5 components </w:t>
            </w:r>
            <w:r w:rsidRPr="004C3CF1">
              <w:rPr>
                <w:rFonts w:ascii="Times New Roman" w:hAnsi="Times New Roman"/>
                <w:sz w:val="20"/>
                <w:szCs w:val="20"/>
              </w:rPr>
              <w:t>identified by our PARAFAC model</w:t>
            </w:r>
            <w:r>
              <w:rPr>
                <w:rFonts w:ascii="Times New Roman" w:hAnsi="Times New Roman"/>
                <w:sz w:val="20"/>
                <w:szCs w:val="20"/>
              </w:rPr>
              <w:t xml:space="preserve"> for the corresponding sample. Must equal 100%</w:t>
            </w:r>
          </w:p>
        </w:tc>
        <w:tc>
          <w:tcPr>
            <w:tcW w:w="1890" w:type="dxa"/>
            <w:vAlign w:val="center"/>
          </w:tcPr>
          <w:p w:rsidR="00DC6CBE" w:rsidRPr="0017567B" w:rsidRDefault="00DC6CBE" w:rsidP="00F45AC7">
            <w:pPr>
              <w:spacing w:after="0" w:line="240" w:lineRule="auto"/>
              <w:rPr>
                <w:rFonts w:ascii="Times New Roman" w:hAnsi="Times New Roman"/>
                <w:sz w:val="20"/>
              </w:rPr>
            </w:pPr>
            <w:r>
              <w:rPr>
                <w:rFonts w:ascii="Times New Roman" w:hAnsi="Times New Roman"/>
                <w:sz w:val="20"/>
              </w:rPr>
              <w:t>%</w:t>
            </w:r>
          </w:p>
        </w:tc>
      </w:tr>
    </w:tbl>
    <w:p w:rsidR="00D07006" w:rsidRDefault="00D07006" w:rsidP="004A51FC">
      <w:pPr>
        <w:spacing w:line="240" w:lineRule="auto"/>
        <w:contextualSpacing/>
        <w:rPr>
          <w:rFonts w:ascii="Times New Roman" w:hAnsi="Times New Roman"/>
          <w:b/>
        </w:rPr>
      </w:pPr>
    </w:p>
    <w:p w:rsidR="008A5C3C" w:rsidRPr="0017567B" w:rsidRDefault="008A5C3C" w:rsidP="008A5C3C">
      <w:pPr>
        <w:spacing w:line="240" w:lineRule="auto"/>
        <w:rPr>
          <w:rFonts w:ascii="Times New Roman" w:hAnsi="Times New Roman"/>
        </w:rPr>
      </w:pPr>
      <w:r>
        <w:rPr>
          <w:rFonts w:ascii="Times New Roman" w:hAnsi="Times New Roman"/>
        </w:rPr>
        <w:t xml:space="preserve">Dataset filename: </w:t>
      </w:r>
      <w:r w:rsidR="002B198A" w:rsidRPr="002B198A">
        <w:rPr>
          <w:rFonts w:ascii="Times New Roman" w:hAnsi="Times New Roman"/>
          <w:b/>
        </w:rPr>
        <w:t>Spectro_Scans_Raw_800-0.4-250.4.</w:t>
      </w:r>
      <w:r w:rsidR="005A45DB">
        <w:rPr>
          <w:rFonts w:ascii="Times New Roman" w:hAnsi="Times New Roman"/>
          <w:b/>
        </w:rPr>
        <w:t>csv</w:t>
      </w:r>
    </w:p>
    <w:tbl>
      <w:tblPr>
        <w:tblStyle w:val="Grilledutableau"/>
        <w:tblW w:w="8928" w:type="dxa"/>
        <w:tblInd w:w="378" w:type="dxa"/>
        <w:tblLook w:val="04A0"/>
      </w:tblPr>
      <w:tblGrid>
        <w:gridCol w:w="2088"/>
        <w:gridCol w:w="4950"/>
        <w:gridCol w:w="1890"/>
      </w:tblGrid>
      <w:tr w:rsidR="008A5C3C" w:rsidRPr="0017567B" w:rsidTr="00F45AC7">
        <w:trPr>
          <w:trHeight w:val="315"/>
        </w:trPr>
        <w:tc>
          <w:tcPr>
            <w:tcW w:w="2088" w:type="dxa"/>
            <w:noWrap/>
            <w:vAlign w:val="center"/>
            <w:hideMark/>
          </w:tcPr>
          <w:p w:rsidR="008A5C3C" w:rsidRPr="0017567B" w:rsidRDefault="008A5C3C" w:rsidP="00F45AC7">
            <w:pPr>
              <w:spacing w:after="0" w:line="240" w:lineRule="auto"/>
              <w:rPr>
                <w:rFonts w:ascii="Times New Roman" w:hAnsi="Times New Roman"/>
                <w:b/>
                <w:bCs/>
              </w:rPr>
            </w:pPr>
            <w:r w:rsidRPr="0017567B">
              <w:rPr>
                <w:rFonts w:ascii="Times New Roman" w:hAnsi="Times New Roman"/>
                <w:b/>
                <w:bCs/>
              </w:rPr>
              <w:t>Column name</w:t>
            </w:r>
          </w:p>
        </w:tc>
        <w:tc>
          <w:tcPr>
            <w:tcW w:w="4950" w:type="dxa"/>
            <w:vAlign w:val="center"/>
            <w:hideMark/>
          </w:tcPr>
          <w:p w:rsidR="008A5C3C" w:rsidRPr="0017567B" w:rsidRDefault="008A5C3C" w:rsidP="00F45AC7">
            <w:pPr>
              <w:spacing w:after="0" w:line="240" w:lineRule="auto"/>
              <w:rPr>
                <w:rFonts w:ascii="Times New Roman" w:hAnsi="Times New Roman"/>
                <w:b/>
                <w:bCs/>
              </w:rPr>
            </w:pPr>
            <w:r w:rsidRPr="0017567B">
              <w:rPr>
                <w:rFonts w:ascii="Times New Roman" w:hAnsi="Times New Roman"/>
                <w:b/>
                <w:bCs/>
              </w:rPr>
              <w:t>Definition</w:t>
            </w:r>
          </w:p>
        </w:tc>
        <w:tc>
          <w:tcPr>
            <w:tcW w:w="1890" w:type="dxa"/>
            <w:vAlign w:val="center"/>
          </w:tcPr>
          <w:p w:rsidR="008A5C3C" w:rsidRPr="0017567B" w:rsidRDefault="008A5C3C" w:rsidP="00F45AC7">
            <w:pPr>
              <w:spacing w:after="0" w:line="240" w:lineRule="auto"/>
              <w:rPr>
                <w:rFonts w:ascii="Times New Roman" w:hAnsi="Times New Roman"/>
                <w:b/>
                <w:bCs/>
              </w:rPr>
            </w:pPr>
            <w:r w:rsidRPr="0017567B">
              <w:rPr>
                <w:rFonts w:ascii="Times New Roman" w:hAnsi="Times New Roman"/>
                <w:b/>
                <w:bCs/>
              </w:rPr>
              <w:t>Units</w:t>
            </w:r>
          </w:p>
        </w:tc>
      </w:tr>
      <w:tr w:rsidR="008A5C3C" w:rsidRPr="0017567B" w:rsidTr="00F45AC7">
        <w:trPr>
          <w:trHeight w:val="305"/>
        </w:trPr>
        <w:tc>
          <w:tcPr>
            <w:tcW w:w="2088" w:type="dxa"/>
            <w:noWrap/>
            <w:vAlign w:val="center"/>
          </w:tcPr>
          <w:p w:rsidR="008A5C3C" w:rsidRPr="00F45AC7" w:rsidRDefault="00D93585" w:rsidP="00F45AC7">
            <w:pPr>
              <w:spacing w:after="0" w:line="240" w:lineRule="auto"/>
              <w:rPr>
                <w:rFonts w:ascii="Times New Roman" w:hAnsi="Times New Roman"/>
                <w:sz w:val="20"/>
              </w:rPr>
            </w:pPr>
            <w:r w:rsidRPr="00F45AC7">
              <w:rPr>
                <w:rFonts w:ascii="Times New Roman" w:hAnsi="Times New Roman"/>
                <w:sz w:val="20"/>
              </w:rPr>
              <w:t>Wavelength (nm)</w:t>
            </w:r>
          </w:p>
        </w:tc>
        <w:tc>
          <w:tcPr>
            <w:tcW w:w="4950" w:type="dxa"/>
            <w:vAlign w:val="center"/>
          </w:tcPr>
          <w:p w:rsidR="008A5C3C" w:rsidRPr="00F45AC7" w:rsidRDefault="00D93585" w:rsidP="00987B6A">
            <w:pPr>
              <w:spacing w:after="0" w:line="240" w:lineRule="auto"/>
              <w:jc w:val="both"/>
              <w:rPr>
                <w:rFonts w:ascii="Times New Roman" w:hAnsi="Times New Roman"/>
                <w:sz w:val="20"/>
              </w:rPr>
            </w:pPr>
            <w:r w:rsidRPr="00F45AC7">
              <w:rPr>
                <w:rFonts w:ascii="Times New Roman" w:hAnsi="Times New Roman"/>
                <w:sz w:val="20"/>
              </w:rPr>
              <w:t>Wavelength</w:t>
            </w:r>
            <w:r w:rsidR="00F45AC7">
              <w:rPr>
                <w:rFonts w:ascii="Times New Roman" w:hAnsi="Times New Roman"/>
                <w:sz w:val="20"/>
              </w:rPr>
              <w:t>s</w:t>
            </w:r>
            <w:r w:rsidRPr="00F45AC7">
              <w:rPr>
                <w:rFonts w:ascii="Times New Roman" w:hAnsi="Times New Roman"/>
                <w:sz w:val="20"/>
              </w:rPr>
              <w:t>, from 800 to 250.4 nm</w:t>
            </w:r>
            <w:r w:rsidR="00F45AC7">
              <w:rPr>
                <w:rFonts w:ascii="Times New Roman" w:hAnsi="Times New Roman"/>
                <w:sz w:val="20"/>
              </w:rPr>
              <w:t xml:space="preserve"> (0.4 nm increment</w:t>
            </w:r>
            <w:r w:rsidRPr="00F45AC7">
              <w:rPr>
                <w:rFonts w:ascii="Times New Roman" w:hAnsi="Times New Roman"/>
                <w:sz w:val="20"/>
              </w:rPr>
              <w:t>)</w:t>
            </w:r>
          </w:p>
        </w:tc>
        <w:tc>
          <w:tcPr>
            <w:tcW w:w="1890" w:type="dxa"/>
            <w:vAlign w:val="center"/>
          </w:tcPr>
          <w:p w:rsidR="008A5C3C" w:rsidRPr="00F45AC7" w:rsidRDefault="00D93585" w:rsidP="00F45AC7">
            <w:pPr>
              <w:spacing w:after="0" w:line="240" w:lineRule="auto"/>
              <w:rPr>
                <w:rFonts w:ascii="Times New Roman" w:hAnsi="Times New Roman"/>
                <w:sz w:val="20"/>
              </w:rPr>
            </w:pPr>
            <w:r w:rsidRPr="00F45AC7">
              <w:rPr>
                <w:rFonts w:ascii="Times New Roman" w:hAnsi="Times New Roman"/>
                <w:sz w:val="20"/>
              </w:rPr>
              <w:t>nm</w:t>
            </w:r>
          </w:p>
        </w:tc>
      </w:tr>
      <w:tr w:rsidR="008A5C3C" w:rsidRPr="0017567B" w:rsidTr="00F45AC7">
        <w:trPr>
          <w:trHeight w:val="300"/>
        </w:trPr>
        <w:tc>
          <w:tcPr>
            <w:tcW w:w="2088" w:type="dxa"/>
            <w:noWrap/>
            <w:vAlign w:val="center"/>
          </w:tcPr>
          <w:p w:rsidR="00D93585" w:rsidRPr="0017567B" w:rsidRDefault="00D93585" w:rsidP="00F45AC7">
            <w:pPr>
              <w:spacing w:after="0" w:line="240" w:lineRule="auto"/>
              <w:rPr>
                <w:rFonts w:ascii="Times New Roman" w:hAnsi="Times New Roman"/>
                <w:sz w:val="20"/>
              </w:rPr>
            </w:pPr>
            <w:r>
              <w:rPr>
                <w:rFonts w:ascii="Times New Roman" w:hAnsi="Times New Roman"/>
                <w:sz w:val="20"/>
              </w:rPr>
              <w:t>BI09_BYL1</w:t>
            </w:r>
          </w:p>
        </w:tc>
        <w:tc>
          <w:tcPr>
            <w:tcW w:w="4950" w:type="dxa"/>
            <w:vAlign w:val="center"/>
          </w:tcPr>
          <w:p w:rsidR="008A5C3C" w:rsidRPr="0017567B" w:rsidRDefault="00F45AC7" w:rsidP="00987B6A">
            <w:pPr>
              <w:spacing w:after="0" w:line="240" w:lineRule="auto"/>
              <w:jc w:val="both"/>
              <w:rPr>
                <w:rFonts w:ascii="Times New Roman" w:hAnsi="Times New Roman"/>
                <w:sz w:val="20"/>
              </w:rPr>
            </w:pPr>
            <w:r>
              <w:rPr>
                <w:rFonts w:ascii="Times New Roman" w:hAnsi="Times New Roman"/>
                <w:sz w:val="20"/>
              </w:rPr>
              <w:t>Absorbance measured at the specific wavelength for the sample BI09_BYL1</w:t>
            </w:r>
          </w:p>
        </w:tc>
        <w:tc>
          <w:tcPr>
            <w:tcW w:w="1890" w:type="dxa"/>
            <w:vAlign w:val="center"/>
          </w:tcPr>
          <w:p w:rsidR="008A5C3C" w:rsidRPr="0017567B" w:rsidRDefault="00F45AC7" w:rsidP="00F45AC7">
            <w:pPr>
              <w:spacing w:after="0" w:line="240" w:lineRule="auto"/>
              <w:rPr>
                <w:rFonts w:ascii="Times New Roman" w:hAnsi="Times New Roman"/>
                <w:sz w:val="20"/>
              </w:rPr>
            </w:pPr>
            <w:r>
              <w:rPr>
                <w:rFonts w:ascii="Times New Roman" w:hAnsi="Times New Roman"/>
                <w:sz w:val="20"/>
              </w:rPr>
              <w:t>Absorbance units (A.U.)</w:t>
            </w:r>
          </w:p>
        </w:tc>
      </w:tr>
      <w:tr w:rsidR="008A5C3C" w:rsidRPr="0017567B" w:rsidTr="00F45AC7">
        <w:trPr>
          <w:trHeight w:val="300"/>
        </w:trPr>
        <w:tc>
          <w:tcPr>
            <w:tcW w:w="2088" w:type="dxa"/>
            <w:noWrap/>
            <w:vAlign w:val="center"/>
          </w:tcPr>
          <w:p w:rsidR="008A5C3C" w:rsidRPr="0017567B" w:rsidRDefault="00F45AC7" w:rsidP="00F45AC7">
            <w:pPr>
              <w:spacing w:after="0" w:line="240" w:lineRule="auto"/>
              <w:rPr>
                <w:rFonts w:ascii="Times New Roman" w:hAnsi="Times New Roman"/>
                <w:sz w:val="20"/>
              </w:rPr>
            </w:pPr>
            <w:r>
              <w:rPr>
                <w:rFonts w:ascii="Times New Roman" w:hAnsi="Times New Roman"/>
                <w:sz w:val="20"/>
              </w:rPr>
              <w:t>BI09_BYL22</w:t>
            </w:r>
          </w:p>
        </w:tc>
        <w:tc>
          <w:tcPr>
            <w:tcW w:w="4950" w:type="dxa"/>
            <w:vAlign w:val="center"/>
          </w:tcPr>
          <w:p w:rsidR="008A5C3C" w:rsidRPr="0017567B" w:rsidRDefault="00F45AC7" w:rsidP="00987B6A">
            <w:pPr>
              <w:spacing w:after="0" w:line="240" w:lineRule="auto"/>
              <w:jc w:val="both"/>
              <w:rPr>
                <w:rFonts w:ascii="Times New Roman" w:hAnsi="Times New Roman"/>
                <w:sz w:val="20"/>
              </w:rPr>
            </w:pPr>
            <w:r>
              <w:rPr>
                <w:rFonts w:ascii="Times New Roman" w:hAnsi="Times New Roman"/>
                <w:sz w:val="20"/>
              </w:rPr>
              <w:t>Absorbance measured at the specific wavelength for the sample BI09_BYL22</w:t>
            </w:r>
          </w:p>
        </w:tc>
        <w:tc>
          <w:tcPr>
            <w:tcW w:w="1890" w:type="dxa"/>
            <w:vAlign w:val="center"/>
          </w:tcPr>
          <w:p w:rsidR="008A5C3C" w:rsidRPr="0017567B" w:rsidRDefault="00F45AC7" w:rsidP="00F45AC7">
            <w:pPr>
              <w:spacing w:after="0" w:line="240" w:lineRule="auto"/>
              <w:rPr>
                <w:rFonts w:ascii="Times New Roman" w:hAnsi="Times New Roman"/>
                <w:sz w:val="20"/>
              </w:rPr>
            </w:pPr>
            <w:r>
              <w:rPr>
                <w:rFonts w:ascii="Times New Roman" w:hAnsi="Times New Roman"/>
                <w:sz w:val="20"/>
              </w:rPr>
              <w:t>Absorbance units (A.U.)</w:t>
            </w:r>
          </w:p>
        </w:tc>
      </w:tr>
      <w:tr w:rsidR="008A5C3C" w:rsidRPr="0017567B" w:rsidTr="00F45AC7">
        <w:trPr>
          <w:trHeight w:val="300"/>
        </w:trPr>
        <w:tc>
          <w:tcPr>
            <w:tcW w:w="2088" w:type="dxa"/>
            <w:noWrap/>
            <w:vAlign w:val="center"/>
          </w:tcPr>
          <w:p w:rsidR="008A5C3C" w:rsidRPr="0017567B" w:rsidRDefault="00F45AC7" w:rsidP="00F45AC7">
            <w:pPr>
              <w:spacing w:after="0" w:line="240" w:lineRule="auto"/>
              <w:jc w:val="center"/>
              <w:rPr>
                <w:rFonts w:ascii="Times New Roman" w:hAnsi="Times New Roman"/>
                <w:sz w:val="20"/>
              </w:rPr>
            </w:pPr>
            <w:r>
              <w:rPr>
                <w:rFonts w:ascii="Times New Roman" w:hAnsi="Times New Roman"/>
                <w:sz w:val="20"/>
              </w:rPr>
              <w:t>…</w:t>
            </w:r>
          </w:p>
        </w:tc>
        <w:tc>
          <w:tcPr>
            <w:tcW w:w="4950" w:type="dxa"/>
            <w:vAlign w:val="center"/>
          </w:tcPr>
          <w:p w:rsidR="008A5C3C" w:rsidRPr="0017567B" w:rsidRDefault="00F45AC7" w:rsidP="00987B6A">
            <w:pPr>
              <w:spacing w:after="0" w:line="240" w:lineRule="auto"/>
              <w:jc w:val="center"/>
              <w:rPr>
                <w:rFonts w:ascii="Times New Roman" w:hAnsi="Times New Roman"/>
                <w:sz w:val="20"/>
              </w:rPr>
            </w:pPr>
            <w:r>
              <w:rPr>
                <w:rFonts w:ascii="Times New Roman" w:hAnsi="Times New Roman"/>
                <w:sz w:val="20"/>
              </w:rPr>
              <w:t>…</w:t>
            </w:r>
          </w:p>
        </w:tc>
        <w:tc>
          <w:tcPr>
            <w:tcW w:w="1890" w:type="dxa"/>
            <w:vAlign w:val="center"/>
          </w:tcPr>
          <w:p w:rsidR="008A5C3C" w:rsidRPr="0017567B" w:rsidRDefault="00F45AC7" w:rsidP="00F45AC7">
            <w:pPr>
              <w:spacing w:after="0" w:line="240" w:lineRule="auto"/>
              <w:rPr>
                <w:rFonts w:ascii="Times New Roman" w:hAnsi="Times New Roman"/>
                <w:sz w:val="20"/>
              </w:rPr>
            </w:pPr>
            <w:r>
              <w:rPr>
                <w:rFonts w:ascii="Times New Roman" w:hAnsi="Times New Roman"/>
                <w:sz w:val="20"/>
              </w:rPr>
              <w:t>Absorbance units (A.U.)</w:t>
            </w:r>
          </w:p>
        </w:tc>
      </w:tr>
      <w:tr w:rsidR="002B198A" w:rsidRPr="0017567B" w:rsidTr="00F45AC7">
        <w:trPr>
          <w:trHeight w:val="300"/>
        </w:trPr>
        <w:tc>
          <w:tcPr>
            <w:tcW w:w="2088" w:type="dxa"/>
            <w:noWrap/>
            <w:vAlign w:val="center"/>
          </w:tcPr>
          <w:p w:rsidR="002B198A" w:rsidRPr="0017567B" w:rsidRDefault="00F45AC7" w:rsidP="00F45AC7">
            <w:pPr>
              <w:spacing w:after="0" w:line="240" w:lineRule="auto"/>
              <w:rPr>
                <w:rFonts w:ascii="Times New Roman" w:hAnsi="Times New Roman"/>
                <w:sz w:val="20"/>
              </w:rPr>
            </w:pPr>
            <w:r w:rsidRPr="00F45AC7">
              <w:rPr>
                <w:rFonts w:ascii="Times New Roman" w:hAnsi="Times New Roman"/>
                <w:sz w:val="20"/>
              </w:rPr>
              <w:t>KW09_KWK38</w:t>
            </w:r>
          </w:p>
        </w:tc>
        <w:tc>
          <w:tcPr>
            <w:tcW w:w="4950" w:type="dxa"/>
            <w:vAlign w:val="center"/>
          </w:tcPr>
          <w:p w:rsidR="002B198A"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KW09_KWK38</w:t>
            </w:r>
          </w:p>
        </w:tc>
        <w:tc>
          <w:tcPr>
            <w:tcW w:w="1890" w:type="dxa"/>
            <w:vAlign w:val="center"/>
          </w:tcPr>
          <w:p w:rsidR="002B198A" w:rsidRPr="0017567B" w:rsidRDefault="00F45AC7" w:rsidP="00F45AC7">
            <w:pPr>
              <w:spacing w:after="0" w:line="240" w:lineRule="auto"/>
              <w:rPr>
                <w:rFonts w:ascii="Times New Roman" w:hAnsi="Times New Roman"/>
                <w:sz w:val="20"/>
              </w:rPr>
            </w:pPr>
            <w:r>
              <w:rPr>
                <w:rFonts w:ascii="Times New Roman" w:hAnsi="Times New Roman"/>
                <w:sz w:val="20"/>
              </w:rPr>
              <w:t>Absorbance units (A.U.)</w:t>
            </w:r>
          </w:p>
        </w:tc>
      </w:tr>
    </w:tbl>
    <w:p w:rsidR="008A5C3C" w:rsidRDefault="008A5C3C" w:rsidP="008A5C3C">
      <w:pPr>
        <w:spacing w:line="240" w:lineRule="auto"/>
        <w:contextualSpacing/>
        <w:rPr>
          <w:rFonts w:ascii="Times New Roman" w:hAnsi="Times New Roman"/>
          <w:b/>
        </w:rPr>
      </w:pPr>
    </w:p>
    <w:p w:rsidR="00483E69" w:rsidRDefault="00483E69">
      <w:pPr>
        <w:spacing w:after="0" w:line="240" w:lineRule="auto"/>
        <w:rPr>
          <w:rFonts w:ascii="Times New Roman" w:hAnsi="Times New Roman"/>
        </w:rPr>
      </w:pPr>
      <w:r>
        <w:rPr>
          <w:rFonts w:ascii="Times New Roman" w:hAnsi="Times New Roman"/>
        </w:rPr>
        <w:br w:type="page"/>
      </w:r>
    </w:p>
    <w:p w:rsidR="002B198A" w:rsidRPr="0017567B" w:rsidRDefault="002B198A" w:rsidP="002B198A">
      <w:pPr>
        <w:spacing w:line="240" w:lineRule="auto"/>
        <w:rPr>
          <w:rFonts w:ascii="Times New Roman" w:hAnsi="Times New Roman"/>
        </w:rPr>
      </w:pPr>
      <w:r>
        <w:rPr>
          <w:rFonts w:ascii="Times New Roman" w:hAnsi="Times New Roman"/>
        </w:rPr>
        <w:lastRenderedPageBreak/>
        <w:t xml:space="preserve">Dataset filename: </w:t>
      </w:r>
      <w:r w:rsidRPr="002B198A">
        <w:rPr>
          <w:rFonts w:ascii="Times New Roman" w:hAnsi="Times New Roman"/>
          <w:b/>
        </w:rPr>
        <w:t>Spectro_Scans_Raw_800-1-250.</w:t>
      </w:r>
      <w:r w:rsidR="005A45DB">
        <w:rPr>
          <w:rFonts w:ascii="Times New Roman" w:hAnsi="Times New Roman"/>
          <w:b/>
        </w:rPr>
        <w:t>csv</w:t>
      </w:r>
    </w:p>
    <w:tbl>
      <w:tblPr>
        <w:tblStyle w:val="Grilledutableau"/>
        <w:tblW w:w="8928" w:type="dxa"/>
        <w:tblInd w:w="378" w:type="dxa"/>
        <w:tblLook w:val="04A0"/>
      </w:tblPr>
      <w:tblGrid>
        <w:gridCol w:w="2088"/>
        <w:gridCol w:w="4950"/>
        <w:gridCol w:w="1890"/>
      </w:tblGrid>
      <w:tr w:rsidR="002B198A" w:rsidRPr="0017567B" w:rsidTr="00F45AC7">
        <w:trPr>
          <w:trHeight w:val="315"/>
        </w:trPr>
        <w:tc>
          <w:tcPr>
            <w:tcW w:w="2088" w:type="dxa"/>
            <w:noWrap/>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Column name</w:t>
            </w:r>
          </w:p>
        </w:tc>
        <w:tc>
          <w:tcPr>
            <w:tcW w:w="4950" w:type="dxa"/>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Definition</w:t>
            </w:r>
          </w:p>
        </w:tc>
        <w:tc>
          <w:tcPr>
            <w:tcW w:w="1890" w:type="dxa"/>
            <w:vAlign w:val="center"/>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Units</w:t>
            </w:r>
          </w:p>
        </w:tc>
      </w:tr>
      <w:tr w:rsidR="00F45AC7" w:rsidRPr="0017567B" w:rsidTr="00350994">
        <w:trPr>
          <w:trHeight w:val="305"/>
        </w:trPr>
        <w:tc>
          <w:tcPr>
            <w:tcW w:w="2088" w:type="dxa"/>
            <w:noWrap/>
            <w:vAlign w:val="center"/>
          </w:tcPr>
          <w:p w:rsidR="00F45AC7" w:rsidRPr="00F45AC7" w:rsidRDefault="00F45AC7" w:rsidP="00152E2D">
            <w:pPr>
              <w:spacing w:after="0" w:line="240" w:lineRule="auto"/>
              <w:rPr>
                <w:rFonts w:ascii="Times New Roman" w:hAnsi="Times New Roman"/>
                <w:sz w:val="20"/>
              </w:rPr>
            </w:pPr>
            <w:r w:rsidRPr="00F45AC7">
              <w:rPr>
                <w:rFonts w:ascii="Times New Roman" w:hAnsi="Times New Roman"/>
                <w:sz w:val="20"/>
              </w:rPr>
              <w:t>Wavelength (nm)</w:t>
            </w:r>
          </w:p>
        </w:tc>
        <w:tc>
          <w:tcPr>
            <w:tcW w:w="4950" w:type="dxa"/>
            <w:vAlign w:val="center"/>
          </w:tcPr>
          <w:p w:rsidR="00F45AC7" w:rsidRPr="00F45AC7" w:rsidRDefault="00F45AC7" w:rsidP="00987B6A">
            <w:pPr>
              <w:spacing w:after="0" w:line="240" w:lineRule="auto"/>
              <w:jc w:val="both"/>
              <w:rPr>
                <w:rFonts w:ascii="Times New Roman" w:hAnsi="Times New Roman"/>
                <w:sz w:val="20"/>
              </w:rPr>
            </w:pPr>
            <w:r w:rsidRPr="00F45AC7">
              <w:rPr>
                <w:rFonts w:ascii="Times New Roman" w:hAnsi="Times New Roman"/>
                <w:sz w:val="20"/>
              </w:rPr>
              <w:t>Wavelength</w:t>
            </w:r>
            <w:r>
              <w:rPr>
                <w:rFonts w:ascii="Times New Roman" w:hAnsi="Times New Roman"/>
                <w:sz w:val="20"/>
              </w:rPr>
              <w:t>s</w:t>
            </w:r>
            <w:r w:rsidRPr="00F45AC7">
              <w:rPr>
                <w:rFonts w:ascii="Times New Roman" w:hAnsi="Times New Roman"/>
                <w:sz w:val="20"/>
              </w:rPr>
              <w:t>, from 800 to 250 nm (</w:t>
            </w:r>
            <w:r>
              <w:rPr>
                <w:rFonts w:ascii="Times New Roman" w:hAnsi="Times New Roman"/>
                <w:sz w:val="20"/>
              </w:rPr>
              <w:t>1 nm increment</w:t>
            </w:r>
            <w:r w:rsidRPr="00F45AC7">
              <w:rPr>
                <w:rFonts w:ascii="Times New Roman" w:hAnsi="Times New Roman"/>
                <w:sz w:val="20"/>
              </w:rPr>
              <w:t>)</w:t>
            </w:r>
          </w:p>
        </w:tc>
        <w:tc>
          <w:tcPr>
            <w:tcW w:w="1890" w:type="dxa"/>
            <w:vAlign w:val="center"/>
          </w:tcPr>
          <w:p w:rsidR="00F45AC7" w:rsidRPr="00F45AC7" w:rsidRDefault="00F45AC7" w:rsidP="00152E2D">
            <w:pPr>
              <w:spacing w:after="0" w:line="240" w:lineRule="auto"/>
              <w:rPr>
                <w:rFonts w:ascii="Times New Roman" w:hAnsi="Times New Roman"/>
                <w:sz w:val="20"/>
              </w:rPr>
            </w:pPr>
            <w:r w:rsidRPr="00F45AC7">
              <w:rPr>
                <w:rFonts w:ascii="Times New Roman" w:hAnsi="Times New Roman"/>
                <w:sz w:val="20"/>
              </w:rPr>
              <w:t>nm</w:t>
            </w:r>
          </w:p>
        </w:tc>
      </w:tr>
      <w:tr w:rsidR="00F45AC7" w:rsidRPr="0017567B" w:rsidTr="00350994">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KW14_R1</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KW14_R1</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350994">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KW14_R2</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KW14_R2</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350994">
        <w:trPr>
          <w:trHeight w:val="300"/>
        </w:trPr>
        <w:tc>
          <w:tcPr>
            <w:tcW w:w="2088" w:type="dxa"/>
            <w:noWrap/>
            <w:vAlign w:val="center"/>
          </w:tcPr>
          <w:p w:rsidR="00F45AC7" w:rsidRPr="0017567B" w:rsidRDefault="00F45AC7" w:rsidP="00152E2D">
            <w:pPr>
              <w:spacing w:after="0" w:line="240" w:lineRule="auto"/>
              <w:jc w:val="center"/>
              <w:rPr>
                <w:rFonts w:ascii="Times New Roman" w:hAnsi="Times New Roman"/>
                <w:sz w:val="20"/>
              </w:rPr>
            </w:pPr>
            <w:r>
              <w:rPr>
                <w:rFonts w:ascii="Times New Roman" w:hAnsi="Times New Roman"/>
                <w:sz w:val="20"/>
              </w:rPr>
              <w:t>…</w:t>
            </w:r>
          </w:p>
        </w:tc>
        <w:tc>
          <w:tcPr>
            <w:tcW w:w="4950" w:type="dxa"/>
            <w:vAlign w:val="center"/>
          </w:tcPr>
          <w:p w:rsidR="00F45AC7" w:rsidRPr="0017567B" w:rsidRDefault="00F45AC7" w:rsidP="00152E2D">
            <w:pPr>
              <w:spacing w:after="0" w:line="240" w:lineRule="auto"/>
              <w:jc w:val="center"/>
              <w:rPr>
                <w:rFonts w:ascii="Times New Roman" w:hAnsi="Times New Roman"/>
                <w:sz w:val="20"/>
              </w:rPr>
            </w:pPr>
            <w:r>
              <w:rPr>
                <w:rFonts w:ascii="Times New Roman" w:hAnsi="Times New Roman"/>
                <w:sz w:val="20"/>
              </w:rPr>
              <w:t>…</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350994">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WH15_WardHunt</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WH15</w:t>
            </w:r>
            <w:r>
              <w:rPr>
                <w:rFonts w:ascii="Times New Roman" w:hAnsi="Times New Roman"/>
                <w:sz w:val="20"/>
              </w:rPr>
              <w:t>_</w:t>
            </w:r>
            <w:r w:rsidRPr="00F45AC7">
              <w:rPr>
                <w:rFonts w:ascii="Times New Roman" w:hAnsi="Times New Roman"/>
                <w:sz w:val="20"/>
              </w:rPr>
              <w:t>WardHunt</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bl>
    <w:p w:rsidR="002B198A" w:rsidRDefault="002B198A" w:rsidP="002B198A">
      <w:pPr>
        <w:spacing w:line="240" w:lineRule="auto"/>
        <w:contextualSpacing/>
        <w:rPr>
          <w:rFonts w:ascii="Times New Roman" w:hAnsi="Times New Roman"/>
        </w:rPr>
      </w:pPr>
    </w:p>
    <w:p w:rsidR="002B198A" w:rsidRPr="0017567B" w:rsidRDefault="002B198A" w:rsidP="002B198A">
      <w:pPr>
        <w:spacing w:line="240" w:lineRule="auto"/>
        <w:rPr>
          <w:rFonts w:ascii="Times New Roman" w:hAnsi="Times New Roman"/>
        </w:rPr>
      </w:pPr>
      <w:r>
        <w:rPr>
          <w:rFonts w:ascii="Times New Roman" w:hAnsi="Times New Roman"/>
        </w:rPr>
        <w:t xml:space="preserve">Dataset filename: </w:t>
      </w:r>
      <w:r w:rsidR="00EA6A54">
        <w:rPr>
          <w:rFonts w:ascii="Times New Roman" w:hAnsi="Times New Roman"/>
          <w:b/>
        </w:rPr>
        <w:t>Spectro_Scans_Raw_800-2-25</w:t>
      </w:r>
      <w:r w:rsidRPr="002B198A">
        <w:rPr>
          <w:rFonts w:ascii="Times New Roman" w:hAnsi="Times New Roman"/>
          <w:b/>
        </w:rPr>
        <w:t>0.</w:t>
      </w:r>
      <w:r w:rsidR="005A45DB">
        <w:rPr>
          <w:rFonts w:ascii="Times New Roman" w:hAnsi="Times New Roman"/>
          <w:b/>
        </w:rPr>
        <w:t>csv</w:t>
      </w:r>
    </w:p>
    <w:tbl>
      <w:tblPr>
        <w:tblStyle w:val="Grilledutableau"/>
        <w:tblW w:w="8928" w:type="dxa"/>
        <w:tblInd w:w="378" w:type="dxa"/>
        <w:tblLook w:val="04A0"/>
      </w:tblPr>
      <w:tblGrid>
        <w:gridCol w:w="2088"/>
        <w:gridCol w:w="4950"/>
        <w:gridCol w:w="1890"/>
      </w:tblGrid>
      <w:tr w:rsidR="002B198A" w:rsidRPr="0017567B" w:rsidTr="00F45AC7">
        <w:trPr>
          <w:trHeight w:val="315"/>
        </w:trPr>
        <w:tc>
          <w:tcPr>
            <w:tcW w:w="2088" w:type="dxa"/>
            <w:noWrap/>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Column name</w:t>
            </w:r>
          </w:p>
        </w:tc>
        <w:tc>
          <w:tcPr>
            <w:tcW w:w="4950" w:type="dxa"/>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Definition</w:t>
            </w:r>
          </w:p>
        </w:tc>
        <w:tc>
          <w:tcPr>
            <w:tcW w:w="1890" w:type="dxa"/>
            <w:vAlign w:val="center"/>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Units</w:t>
            </w:r>
          </w:p>
        </w:tc>
      </w:tr>
      <w:tr w:rsidR="00F45AC7" w:rsidRPr="0017567B" w:rsidTr="00E97073">
        <w:trPr>
          <w:trHeight w:val="305"/>
        </w:trPr>
        <w:tc>
          <w:tcPr>
            <w:tcW w:w="2088" w:type="dxa"/>
            <w:noWrap/>
            <w:vAlign w:val="center"/>
          </w:tcPr>
          <w:p w:rsidR="00F45AC7" w:rsidRPr="00F45AC7" w:rsidRDefault="00F45AC7" w:rsidP="00152E2D">
            <w:pPr>
              <w:spacing w:after="0" w:line="240" w:lineRule="auto"/>
              <w:rPr>
                <w:rFonts w:ascii="Times New Roman" w:hAnsi="Times New Roman"/>
                <w:sz w:val="20"/>
              </w:rPr>
            </w:pPr>
            <w:r w:rsidRPr="00F45AC7">
              <w:rPr>
                <w:rFonts w:ascii="Times New Roman" w:hAnsi="Times New Roman"/>
                <w:sz w:val="20"/>
              </w:rPr>
              <w:t>Wavelength (nm)</w:t>
            </w:r>
          </w:p>
        </w:tc>
        <w:tc>
          <w:tcPr>
            <w:tcW w:w="4950" w:type="dxa"/>
            <w:vAlign w:val="center"/>
          </w:tcPr>
          <w:p w:rsidR="00F45AC7" w:rsidRPr="00F45AC7" w:rsidRDefault="00F45AC7" w:rsidP="00987B6A">
            <w:pPr>
              <w:spacing w:after="0" w:line="240" w:lineRule="auto"/>
              <w:jc w:val="both"/>
              <w:rPr>
                <w:rFonts w:ascii="Times New Roman" w:hAnsi="Times New Roman"/>
                <w:sz w:val="20"/>
              </w:rPr>
            </w:pPr>
            <w:r w:rsidRPr="00F45AC7">
              <w:rPr>
                <w:rFonts w:ascii="Times New Roman" w:hAnsi="Times New Roman"/>
                <w:sz w:val="20"/>
              </w:rPr>
              <w:t>Wavelength</w:t>
            </w:r>
            <w:r>
              <w:rPr>
                <w:rFonts w:ascii="Times New Roman" w:hAnsi="Times New Roman"/>
                <w:sz w:val="20"/>
              </w:rPr>
              <w:t>s</w:t>
            </w:r>
            <w:r w:rsidRPr="00F45AC7">
              <w:rPr>
                <w:rFonts w:ascii="Times New Roman" w:hAnsi="Times New Roman"/>
                <w:sz w:val="20"/>
              </w:rPr>
              <w:t xml:space="preserve">, from 800 to </w:t>
            </w:r>
            <w:r w:rsidR="00EA6A54">
              <w:rPr>
                <w:rFonts w:ascii="Times New Roman" w:hAnsi="Times New Roman"/>
                <w:sz w:val="20"/>
              </w:rPr>
              <w:t>25</w:t>
            </w:r>
            <w:r>
              <w:rPr>
                <w:rFonts w:ascii="Times New Roman" w:hAnsi="Times New Roman"/>
                <w:sz w:val="20"/>
              </w:rPr>
              <w:t>0</w:t>
            </w:r>
            <w:r w:rsidRPr="00F45AC7">
              <w:rPr>
                <w:rFonts w:ascii="Times New Roman" w:hAnsi="Times New Roman"/>
                <w:sz w:val="20"/>
              </w:rPr>
              <w:t xml:space="preserve"> nm (</w:t>
            </w:r>
            <w:r>
              <w:rPr>
                <w:rFonts w:ascii="Times New Roman" w:hAnsi="Times New Roman"/>
                <w:sz w:val="20"/>
              </w:rPr>
              <w:t>2</w:t>
            </w:r>
            <w:r w:rsidRPr="00F45AC7">
              <w:rPr>
                <w:rFonts w:ascii="Times New Roman" w:hAnsi="Times New Roman"/>
                <w:sz w:val="20"/>
              </w:rPr>
              <w:t xml:space="preserve"> nm increments)</w:t>
            </w:r>
          </w:p>
        </w:tc>
        <w:tc>
          <w:tcPr>
            <w:tcW w:w="1890" w:type="dxa"/>
            <w:vAlign w:val="center"/>
          </w:tcPr>
          <w:p w:rsidR="00F45AC7" w:rsidRPr="00F45AC7" w:rsidRDefault="00F45AC7" w:rsidP="00152E2D">
            <w:pPr>
              <w:spacing w:after="0" w:line="240" w:lineRule="auto"/>
              <w:rPr>
                <w:rFonts w:ascii="Times New Roman" w:hAnsi="Times New Roman"/>
                <w:sz w:val="20"/>
              </w:rPr>
            </w:pPr>
            <w:r w:rsidRPr="00F45AC7">
              <w:rPr>
                <w:rFonts w:ascii="Times New Roman" w:hAnsi="Times New Roman"/>
                <w:sz w:val="20"/>
              </w:rPr>
              <w:t>nm</w:t>
            </w:r>
          </w:p>
        </w:tc>
      </w:tr>
      <w:tr w:rsidR="00F45AC7" w:rsidRPr="0017567B" w:rsidTr="00E97073">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RB02_R1</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RB02_R1</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E97073">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RB02_R3</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RB02_R3</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E97073">
        <w:trPr>
          <w:trHeight w:val="300"/>
        </w:trPr>
        <w:tc>
          <w:tcPr>
            <w:tcW w:w="2088" w:type="dxa"/>
            <w:noWrap/>
            <w:vAlign w:val="center"/>
          </w:tcPr>
          <w:p w:rsidR="00F45AC7" w:rsidRPr="0017567B" w:rsidRDefault="00F45AC7" w:rsidP="00152E2D">
            <w:pPr>
              <w:spacing w:after="0" w:line="240" w:lineRule="auto"/>
              <w:jc w:val="center"/>
              <w:rPr>
                <w:rFonts w:ascii="Times New Roman" w:hAnsi="Times New Roman"/>
                <w:sz w:val="20"/>
              </w:rPr>
            </w:pPr>
            <w:r>
              <w:rPr>
                <w:rFonts w:ascii="Times New Roman" w:hAnsi="Times New Roman"/>
                <w:sz w:val="20"/>
              </w:rPr>
              <w:t>…</w:t>
            </w:r>
          </w:p>
        </w:tc>
        <w:tc>
          <w:tcPr>
            <w:tcW w:w="4950" w:type="dxa"/>
            <w:vAlign w:val="center"/>
          </w:tcPr>
          <w:p w:rsidR="00F45AC7" w:rsidRPr="0017567B" w:rsidRDefault="00F45AC7" w:rsidP="00152E2D">
            <w:pPr>
              <w:spacing w:after="0" w:line="240" w:lineRule="auto"/>
              <w:jc w:val="center"/>
              <w:rPr>
                <w:rFonts w:ascii="Times New Roman" w:hAnsi="Times New Roman"/>
                <w:sz w:val="20"/>
              </w:rPr>
            </w:pPr>
            <w:r>
              <w:rPr>
                <w:rFonts w:ascii="Times New Roman" w:hAnsi="Times New Roman"/>
                <w:sz w:val="20"/>
              </w:rPr>
              <w:t>…</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r w:rsidR="00F45AC7" w:rsidRPr="0017567B" w:rsidTr="00E97073">
        <w:trPr>
          <w:trHeight w:val="300"/>
        </w:trPr>
        <w:tc>
          <w:tcPr>
            <w:tcW w:w="2088" w:type="dxa"/>
            <w:noWrap/>
            <w:vAlign w:val="center"/>
          </w:tcPr>
          <w:p w:rsidR="00F45AC7" w:rsidRPr="0017567B" w:rsidRDefault="00F45AC7" w:rsidP="00152E2D">
            <w:pPr>
              <w:spacing w:after="0" w:line="240" w:lineRule="auto"/>
              <w:rPr>
                <w:rFonts w:ascii="Times New Roman" w:hAnsi="Times New Roman"/>
                <w:sz w:val="20"/>
              </w:rPr>
            </w:pPr>
            <w:r w:rsidRPr="00F45AC7">
              <w:rPr>
                <w:rFonts w:ascii="Times New Roman" w:hAnsi="Times New Roman"/>
                <w:sz w:val="20"/>
              </w:rPr>
              <w:t>KW02_T10</w:t>
            </w:r>
          </w:p>
        </w:tc>
        <w:tc>
          <w:tcPr>
            <w:tcW w:w="4950" w:type="dxa"/>
            <w:vAlign w:val="center"/>
          </w:tcPr>
          <w:p w:rsidR="00F45AC7" w:rsidRPr="0017567B" w:rsidRDefault="00F45AC7" w:rsidP="00987B6A">
            <w:pPr>
              <w:spacing w:after="0" w:line="240" w:lineRule="auto"/>
              <w:jc w:val="both"/>
              <w:rPr>
                <w:rFonts w:ascii="Times New Roman" w:hAnsi="Times New Roman"/>
                <w:sz w:val="20"/>
              </w:rPr>
            </w:pPr>
            <w:r>
              <w:rPr>
                <w:rFonts w:ascii="Times New Roman" w:hAnsi="Times New Roman"/>
                <w:sz w:val="20"/>
              </w:rPr>
              <w:t xml:space="preserve">Absorbance measured at the specific wavelength for the sample </w:t>
            </w:r>
            <w:r w:rsidRPr="00F45AC7">
              <w:rPr>
                <w:rFonts w:ascii="Times New Roman" w:hAnsi="Times New Roman"/>
                <w:sz w:val="20"/>
              </w:rPr>
              <w:t>KW02_T10</w:t>
            </w:r>
          </w:p>
        </w:tc>
        <w:tc>
          <w:tcPr>
            <w:tcW w:w="1890" w:type="dxa"/>
            <w:vAlign w:val="center"/>
          </w:tcPr>
          <w:p w:rsidR="00F45AC7" w:rsidRPr="0017567B" w:rsidRDefault="00F45AC7" w:rsidP="00152E2D">
            <w:pPr>
              <w:spacing w:after="0" w:line="240" w:lineRule="auto"/>
              <w:rPr>
                <w:rFonts w:ascii="Times New Roman" w:hAnsi="Times New Roman"/>
                <w:sz w:val="20"/>
              </w:rPr>
            </w:pPr>
            <w:r>
              <w:rPr>
                <w:rFonts w:ascii="Times New Roman" w:hAnsi="Times New Roman"/>
                <w:sz w:val="20"/>
              </w:rPr>
              <w:t>Absorbance units (A.U.)</w:t>
            </w:r>
          </w:p>
        </w:tc>
      </w:tr>
    </w:tbl>
    <w:p w:rsidR="002B198A" w:rsidRDefault="002B198A" w:rsidP="002B198A">
      <w:pPr>
        <w:spacing w:line="240" w:lineRule="auto"/>
        <w:contextualSpacing/>
        <w:rPr>
          <w:rFonts w:ascii="Times New Roman" w:hAnsi="Times New Roman"/>
        </w:rPr>
      </w:pPr>
    </w:p>
    <w:p w:rsidR="002B198A" w:rsidRPr="0017567B" w:rsidRDefault="002B198A" w:rsidP="002B198A">
      <w:pPr>
        <w:spacing w:line="240" w:lineRule="auto"/>
        <w:rPr>
          <w:rFonts w:ascii="Times New Roman" w:hAnsi="Times New Roman"/>
        </w:rPr>
      </w:pPr>
      <w:r>
        <w:rPr>
          <w:rFonts w:ascii="Times New Roman" w:hAnsi="Times New Roman"/>
        </w:rPr>
        <w:t xml:space="preserve">Dataset filename: </w:t>
      </w:r>
      <w:r w:rsidRPr="002B198A">
        <w:rPr>
          <w:rFonts w:ascii="Times New Roman" w:hAnsi="Times New Roman"/>
          <w:b/>
        </w:rPr>
        <w:t>SIA_Data.</w:t>
      </w:r>
      <w:r w:rsidR="005A45DB">
        <w:rPr>
          <w:rFonts w:ascii="Times New Roman" w:hAnsi="Times New Roman"/>
          <w:b/>
        </w:rPr>
        <w:t>csv</w:t>
      </w:r>
    </w:p>
    <w:tbl>
      <w:tblPr>
        <w:tblStyle w:val="Grilledutableau"/>
        <w:tblW w:w="8928" w:type="dxa"/>
        <w:tblInd w:w="378" w:type="dxa"/>
        <w:tblLook w:val="04A0"/>
      </w:tblPr>
      <w:tblGrid>
        <w:gridCol w:w="2088"/>
        <w:gridCol w:w="4950"/>
        <w:gridCol w:w="1890"/>
      </w:tblGrid>
      <w:tr w:rsidR="002B198A" w:rsidRPr="0017567B" w:rsidTr="00F45AC7">
        <w:trPr>
          <w:trHeight w:val="315"/>
        </w:trPr>
        <w:tc>
          <w:tcPr>
            <w:tcW w:w="2088" w:type="dxa"/>
            <w:noWrap/>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Column name</w:t>
            </w:r>
          </w:p>
        </w:tc>
        <w:tc>
          <w:tcPr>
            <w:tcW w:w="4950" w:type="dxa"/>
            <w:vAlign w:val="center"/>
            <w:hideMark/>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Definition</w:t>
            </w:r>
          </w:p>
        </w:tc>
        <w:tc>
          <w:tcPr>
            <w:tcW w:w="1890" w:type="dxa"/>
            <w:vAlign w:val="center"/>
          </w:tcPr>
          <w:p w:rsidR="002B198A" w:rsidRPr="0017567B" w:rsidRDefault="002B198A" w:rsidP="00F45AC7">
            <w:pPr>
              <w:spacing w:after="0" w:line="240" w:lineRule="auto"/>
              <w:rPr>
                <w:rFonts w:ascii="Times New Roman" w:hAnsi="Times New Roman"/>
                <w:b/>
                <w:bCs/>
              </w:rPr>
            </w:pPr>
            <w:r w:rsidRPr="0017567B">
              <w:rPr>
                <w:rFonts w:ascii="Times New Roman" w:hAnsi="Times New Roman"/>
                <w:b/>
                <w:bCs/>
              </w:rPr>
              <w:t>Units</w:t>
            </w:r>
          </w:p>
        </w:tc>
      </w:tr>
      <w:tr w:rsidR="002B198A" w:rsidRPr="0017567B" w:rsidTr="00F45AC7">
        <w:trPr>
          <w:trHeight w:val="305"/>
        </w:trPr>
        <w:tc>
          <w:tcPr>
            <w:tcW w:w="2088" w:type="dxa"/>
            <w:noWrap/>
            <w:vAlign w:val="center"/>
          </w:tcPr>
          <w:p w:rsidR="002B198A" w:rsidRPr="00880C3F" w:rsidRDefault="00880C3F" w:rsidP="00483E69">
            <w:pPr>
              <w:spacing w:after="0" w:line="240" w:lineRule="auto"/>
              <w:rPr>
                <w:rFonts w:ascii="Times New Roman" w:hAnsi="Times New Roman"/>
                <w:sz w:val="20"/>
              </w:rPr>
            </w:pPr>
            <w:r w:rsidRPr="00880C3F">
              <w:rPr>
                <w:rFonts w:ascii="Times New Roman" w:hAnsi="Times New Roman"/>
                <w:sz w:val="20"/>
              </w:rPr>
              <w:t xml:space="preserve">Type of </w:t>
            </w:r>
            <w:r w:rsidR="00483E69">
              <w:rPr>
                <w:rFonts w:ascii="Times New Roman" w:hAnsi="Times New Roman"/>
                <w:sz w:val="20"/>
              </w:rPr>
              <w:t>s</w:t>
            </w:r>
            <w:r w:rsidRPr="00880C3F">
              <w:rPr>
                <w:rFonts w:ascii="Times New Roman" w:hAnsi="Times New Roman"/>
                <w:sz w:val="20"/>
              </w:rPr>
              <w:t>amples</w:t>
            </w:r>
          </w:p>
        </w:tc>
        <w:tc>
          <w:tcPr>
            <w:tcW w:w="4950" w:type="dxa"/>
            <w:vAlign w:val="center"/>
          </w:tcPr>
          <w:p w:rsidR="002B198A" w:rsidRPr="00880C3F" w:rsidRDefault="00880C3F" w:rsidP="00987B6A">
            <w:pPr>
              <w:spacing w:after="0" w:line="240" w:lineRule="auto"/>
              <w:jc w:val="both"/>
              <w:rPr>
                <w:rFonts w:ascii="Times New Roman" w:hAnsi="Times New Roman"/>
                <w:sz w:val="20"/>
              </w:rPr>
            </w:pPr>
            <w:r>
              <w:rPr>
                <w:rFonts w:ascii="Times New Roman" w:hAnsi="Times New Roman"/>
                <w:sz w:val="20"/>
              </w:rPr>
              <w:t>The t</w:t>
            </w:r>
            <w:r w:rsidR="001C59BB">
              <w:rPr>
                <w:rFonts w:ascii="Times New Roman" w:hAnsi="Times New Roman"/>
                <w:sz w:val="20"/>
              </w:rPr>
              <w:t>ype of sample</w:t>
            </w:r>
            <w:r>
              <w:rPr>
                <w:rFonts w:ascii="Times New Roman" w:hAnsi="Times New Roman"/>
                <w:sz w:val="20"/>
              </w:rPr>
              <w:t xml:space="preserve"> analyzed (</w:t>
            </w:r>
            <w:r w:rsidRPr="00880C3F">
              <w:rPr>
                <w:rFonts w:ascii="Times New Roman" w:hAnsi="Times New Roman"/>
                <w:i/>
                <w:sz w:val="20"/>
              </w:rPr>
              <w:t>DOM</w:t>
            </w:r>
            <w:r>
              <w:rPr>
                <w:rFonts w:ascii="Times New Roman" w:hAnsi="Times New Roman"/>
                <w:sz w:val="20"/>
              </w:rPr>
              <w:t xml:space="preserve">, </w:t>
            </w:r>
            <w:r w:rsidRPr="00880C3F">
              <w:rPr>
                <w:rFonts w:ascii="Times New Roman" w:hAnsi="Times New Roman"/>
                <w:i/>
                <w:sz w:val="20"/>
              </w:rPr>
              <w:t>Phytoplankton</w:t>
            </w:r>
            <w:r>
              <w:rPr>
                <w:rFonts w:ascii="Times New Roman" w:hAnsi="Times New Roman"/>
                <w:sz w:val="20"/>
              </w:rPr>
              <w:t xml:space="preserve">, </w:t>
            </w:r>
            <w:r w:rsidRPr="00880C3F">
              <w:rPr>
                <w:rFonts w:ascii="Times New Roman" w:hAnsi="Times New Roman"/>
                <w:i/>
                <w:sz w:val="20"/>
              </w:rPr>
              <w:t>Terrestrial</w:t>
            </w:r>
            <w:r>
              <w:rPr>
                <w:rFonts w:ascii="Times New Roman" w:hAnsi="Times New Roman"/>
                <w:sz w:val="20"/>
              </w:rPr>
              <w:t xml:space="preserve">, </w:t>
            </w:r>
            <w:r w:rsidRPr="00880C3F">
              <w:rPr>
                <w:rFonts w:ascii="Times New Roman" w:hAnsi="Times New Roman"/>
                <w:i/>
                <w:sz w:val="20"/>
              </w:rPr>
              <w:t>Macrophytes</w:t>
            </w:r>
            <w:r>
              <w:rPr>
                <w:rFonts w:ascii="Times New Roman" w:hAnsi="Times New Roman"/>
                <w:sz w:val="20"/>
              </w:rPr>
              <w:t xml:space="preserve">, or </w:t>
            </w:r>
            <w:r w:rsidRPr="00880C3F">
              <w:rPr>
                <w:rFonts w:ascii="Times New Roman" w:hAnsi="Times New Roman"/>
                <w:i/>
                <w:sz w:val="20"/>
              </w:rPr>
              <w:t>Benthic</w:t>
            </w:r>
            <w:r>
              <w:rPr>
                <w:rFonts w:ascii="Times New Roman" w:hAnsi="Times New Roman"/>
                <w:sz w:val="20"/>
              </w:rPr>
              <w:t xml:space="preserve"> </w:t>
            </w:r>
            <w:r w:rsidRPr="00880C3F">
              <w:rPr>
                <w:rFonts w:ascii="Times New Roman" w:hAnsi="Times New Roman"/>
                <w:i/>
                <w:sz w:val="20"/>
              </w:rPr>
              <w:t>bulk</w:t>
            </w:r>
            <w:r>
              <w:rPr>
                <w:rFonts w:ascii="Times New Roman" w:hAnsi="Times New Roman"/>
                <w:sz w:val="20"/>
              </w:rPr>
              <w:t>)</w:t>
            </w:r>
          </w:p>
        </w:tc>
        <w:tc>
          <w:tcPr>
            <w:tcW w:w="1890" w:type="dxa"/>
            <w:vAlign w:val="center"/>
          </w:tcPr>
          <w:p w:rsidR="002B198A" w:rsidRPr="00880C3F" w:rsidRDefault="00880C3F" w:rsidP="00F45AC7">
            <w:pPr>
              <w:spacing w:after="0" w:line="240" w:lineRule="auto"/>
              <w:rPr>
                <w:rFonts w:ascii="Times New Roman" w:hAnsi="Times New Roman"/>
                <w:sz w:val="20"/>
              </w:rPr>
            </w:pPr>
            <w:r>
              <w:rPr>
                <w:rFonts w:ascii="Times New Roman" w:hAnsi="Times New Roman"/>
                <w:sz w:val="20"/>
              </w:rPr>
              <w:t>Text</w:t>
            </w:r>
          </w:p>
        </w:tc>
      </w:tr>
      <w:tr w:rsidR="002B198A" w:rsidRPr="0017567B" w:rsidTr="00F45AC7">
        <w:trPr>
          <w:trHeight w:val="300"/>
        </w:trPr>
        <w:tc>
          <w:tcPr>
            <w:tcW w:w="2088" w:type="dxa"/>
            <w:noWrap/>
            <w:vAlign w:val="center"/>
          </w:tcPr>
          <w:p w:rsidR="002B198A" w:rsidRPr="0017567B" w:rsidRDefault="00880C3F" w:rsidP="00F45AC7">
            <w:pPr>
              <w:spacing w:after="0" w:line="240" w:lineRule="auto"/>
              <w:rPr>
                <w:rFonts w:ascii="Times New Roman" w:hAnsi="Times New Roman"/>
                <w:sz w:val="20"/>
              </w:rPr>
            </w:pPr>
            <w:r w:rsidRPr="00880C3F">
              <w:rPr>
                <w:rFonts w:ascii="Times New Roman" w:hAnsi="Times New Roman"/>
                <w:sz w:val="20"/>
              </w:rPr>
              <w:t>Type of ponds</w:t>
            </w:r>
          </w:p>
        </w:tc>
        <w:tc>
          <w:tcPr>
            <w:tcW w:w="4950" w:type="dxa"/>
            <w:vAlign w:val="center"/>
          </w:tcPr>
          <w:p w:rsidR="002B198A" w:rsidRPr="00880C3F" w:rsidRDefault="001C59BB" w:rsidP="00987B6A">
            <w:pPr>
              <w:spacing w:after="0" w:line="240" w:lineRule="auto"/>
              <w:jc w:val="both"/>
              <w:rPr>
                <w:rFonts w:ascii="Times New Roman" w:hAnsi="Times New Roman"/>
                <w:sz w:val="20"/>
              </w:rPr>
            </w:pPr>
            <w:r>
              <w:rPr>
                <w:rFonts w:ascii="Times New Roman" w:hAnsi="Times New Roman"/>
                <w:sz w:val="20"/>
              </w:rPr>
              <w:t>The type of pond</w:t>
            </w:r>
            <w:r w:rsidR="00880C3F">
              <w:rPr>
                <w:rFonts w:ascii="Times New Roman" w:hAnsi="Times New Roman"/>
                <w:sz w:val="20"/>
              </w:rPr>
              <w:t xml:space="preserve"> (</w:t>
            </w:r>
            <w:r w:rsidR="00880C3F" w:rsidRPr="00880C3F">
              <w:rPr>
                <w:rFonts w:ascii="Times New Roman" w:hAnsi="Times New Roman"/>
                <w:i/>
                <w:sz w:val="20"/>
              </w:rPr>
              <w:t>Thaw</w:t>
            </w:r>
            <w:r w:rsidR="00880C3F">
              <w:rPr>
                <w:rFonts w:ascii="Times New Roman" w:hAnsi="Times New Roman"/>
                <w:sz w:val="20"/>
              </w:rPr>
              <w:t xml:space="preserve">, </w:t>
            </w:r>
            <w:r w:rsidR="00880C3F" w:rsidRPr="00880C3F">
              <w:rPr>
                <w:rFonts w:ascii="Times New Roman" w:hAnsi="Times New Roman"/>
                <w:i/>
                <w:sz w:val="20"/>
              </w:rPr>
              <w:t>Tundra</w:t>
            </w:r>
            <w:r w:rsidR="00880C3F">
              <w:rPr>
                <w:rFonts w:ascii="Times New Roman" w:hAnsi="Times New Roman"/>
                <w:sz w:val="20"/>
              </w:rPr>
              <w:t xml:space="preserve"> or </w:t>
            </w:r>
            <w:r w:rsidR="00880C3F" w:rsidRPr="00880C3F">
              <w:rPr>
                <w:rFonts w:ascii="Times New Roman" w:hAnsi="Times New Roman"/>
                <w:i/>
                <w:sz w:val="20"/>
              </w:rPr>
              <w:t>Bedrock</w:t>
            </w:r>
            <w:r w:rsidR="00880C3F">
              <w:rPr>
                <w:rFonts w:ascii="Times New Roman" w:hAnsi="Times New Roman"/>
                <w:sz w:val="20"/>
              </w:rPr>
              <w:t>)</w:t>
            </w:r>
          </w:p>
        </w:tc>
        <w:tc>
          <w:tcPr>
            <w:tcW w:w="1890" w:type="dxa"/>
            <w:vAlign w:val="center"/>
          </w:tcPr>
          <w:p w:rsidR="002B198A" w:rsidRPr="00880C3F" w:rsidRDefault="00880C3F" w:rsidP="00F45AC7">
            <w:pPr>
              <w:spacing w:after="0" w:line="240" w:lineRule="auto"/>
              <w:rPr>
                <w:rFonts w:ascii="Times New Roman" w:hAnsi="Times New Roman"/>
                <w:sz w:val="20"/>
              </w:rPr>
            </w:pPr>
            <w:r>
              <w:rPr>
                <w:rFonts w:ascii="Times New Roman" w:hAnsi="Times New Roman"/>
                <w:sz w:val="20"/>
              </w:rPr>
              <w:t>Text</w:t>
            </w:r>
          </w:p>
        </w:tc>
      </w:tr>
      <w:tr w:rsidR="002B198A" w:rsidRPr="0017567B" w:rsidTr="00F45AC7">
        <w:trPr>
          <w:trHeight w:val="300"/>
        </w:trPr>
        <w:tc>
          <w:tcPr>
            <w:tcW w:w="2088" w:type="dxa"/>
            <w:noWrap/>
            <w:vAlign w:val="center"/>
          </w:tcPr>
          <w:p w:rsidR="002B198A" w:rsidRPr="0017567B" w:rsidRDefault="00880C3F" w:rsidP="00F45AC7">
            <w:pPr>
              <w:spacing w:after="0" w:line="240" w:lineRule="auto"/>
              <w:rPr>
                <w:rFonts w:ascii="Times New Roman" w:hAnsi="Times New Roman"/>
                <w:sz w:val="20"/>
              </w:rPr>
            </w:pPr>
            <w:r w:rsidRPr="00880C3F">
              <w:rPr>
                <w:rFonts w:ascii="Times New Roman" w:hAnsi="Times New Roman"/>
                <w:sz w:val="20"/>
              </w:rPr>
              <w:t>d13C Mean</w:t>
            </w:r>
          </w:p>
        </w:tc>
        <w:tc>
          <w:tcPr>
            <w:tcW w:w="4950" w:type="dxa"/>
            <w:vAlign w:val="center"/>
          </w:tcPr>
          <w:p w:rsidR="002B198A" w:rsidRPr="00880C3F" w:rsidRDefault="00880C3F" w:rsidP="00987B6A">
            <w:pPr>
              <w:spacing w:after="0" w:line="240" w:lineRule="auto"/>
              <w:jc w:val="both"/>
              <w:rPr>
                <w:rFonts w:ascii="Times New Roman" w:hAnsi="Times New Roman"/>
                <w:sz w:val="20"/>
              </w:rPr>
            </w:pPr>
            <w:r>
              <w:rPr>
                <w:rFonts w:ascii="Times New Roman" w:hAnsi="Times New Roman"/>
                <w:sz w:val="20"/>
              </w:rPr>
              <w:t>Mean of the d</w:t>
            </w:r>
            <w:r w:rsidRPr="00942453">
              <w:rPr>
                <w:rFonts w:ascii="Times New Roman" w:hAnsi="Times New Roman"/>
                <w:sz w:val="20"/>
              </w:rPr>
              <w:t>13</w:t>
            </w:r>
            <w:r>
              <w:rPr>
                <w:rFonts w:ascii="Times New Roman" w:hAnsi="Times New Roman"/>
                <w:sz w:val="20"/>
              </w:rPr>
              <w:t>C s</w:t>
            </w:r>
            <w:r w:rsidR="001C59BB">
              <w:rPr>
                <w:rFonts w:ascii="Times New Roman" w:hAnsi="Times New Roman"/>
                <w:sz w:val="20"/>
              </w:rPr>
              <w:t>ignature for the type of sample</w:t>
            </w:r>
            <w:r>
              <w:rPr>
                <w:rFonts w:ascii="Times New Roman" w:hAnsi="Times New Roman"/>
                <w:sz w:val="20"/>
              </w:rPr>
              <w:t xml:space="preserve"> and </w:t>
            </w:r>
            <w:r w:rsidR="001C59BB">
              <w:rPr>
                <w:rFonts w:ascii="Times New Roman" w:hAnsi="Times New Roman"/>
                <w:sz w:val="20"/>
              </w:rPr>
              <w:t>pond</w:t>
            </w:r>
            <w:r>
              <w:rPr>
                <w:rFonts w:ascii="Times New Roman" w:hAnsi="Times New Roman"/>
                <w:sz w:val="20"/>
              </w:rPr>
              <w:t xml:space="preserve"> corresponding</w:t>
            </w:r>
          </w:p>
        </w:tc>
        <w:tc>
          <w:tcPr>
            <w:tcW w:w="1890" w:type="dxa"/>
            <w:vAlign w:val="center"/>
          </w:tcPr>
          <w:p w:rsidR="002B198A" w:rsidRPr="00880C3F" w:rsidRDefault="00880C3F" w:rsidP="00F45AC7">
            <w:pPr>
              <w:spacing w:after="0" w:line="240" w:lineRule="auto"/>
              <w:rPr>
                <w:rFonts w:ascii="Times New Roman" w:hAnsi="Times New Roman"/>
                <w:sz w:val="20"/>
              </w:rPr>
            </w:pPr>
            <w:r>
              <w:rPr>
                <w:rFonts w:ascii="Times New Roman" w:hAnsi="Times New Roman"/>
                <w:sz w:val="20"/>
              </w:rPr>
              <w:t>‰</w:t>
            </w:r>
          </w:p>
        </w:tc>
      </w:tr>
      <w:tr w:rsidR="002B198A" w:rsidRPr="0017567B" w:rsidTr="00F45AC7">
        <w:trPr>
          <w:trHeight w:val="300"/>
        </w:trPr>
        <w:tc>
          <w:tcPr>
            <w:tcW w:w="2088" w:type="dxa"/>
            <w:noWrap/>
            <w:vAlign w:val="center"/>
          </w:tcPr>
          <w:p w:rsidR="002B198A" w:rsidRPr="0017567B" w:rsidRDefault="00880C3F" w:rsidP="00F45AC7">
            <w:pPr>
              <w:spacing w:after="0" w:line="240" w:lineRule="auto"/>
              <w:rPr>
                <w:rFonts w:ascii="Times New Roman" w:hAnsi="Times New Roman"/>
                <w:sz w:val="20"/>
              </w:rPr>
            </w:pPr>
            <w:r w:rsidRPr="00880C3F">
              <w:rPr>
                <w:rFonts w:ascii="Times New Roman" w:hAnsi="Times New Roman"/>
                <w:sz w:val="20"/>
              </w:rPr>
              <w:t>d13C SD</w:t>
            </w:r>
          </w:p>
        </w:tc>
        <w:tc>
          <w:tcPr>
            <w:tcW w:w="4950" w:type="dxa"/>
            <w:vAlign w:val="center"/>
          </w:tcPr>
          <w:p w:rsidR="002B198A" w:rsidRPr="00880C3F" w:rsidRDefault="00880C3F" w:rsidP="00987B6A">
            <w:pPr>
              <w:spacing w:after="0" w:line="240" w:lineRule="auto"/>
              <w:jc w:val="both"/>
              <w:rPr>
                <w:rFonts w:ascii="Times New Roman" w:hAnsi="Times New Roman"/>
                <w:sz w:val="20"/>
              </w:rPr>
            </w:pPr>
            <w:r>
              <w:rPr>
                <w:rFonts w:ascii="Times New Roman" w:hAnsi="Times New Roman"/>
                <w:sz w:val="20"/>
              </w:rPr>
              <w:t>Standard deviation of the d</w:t>
            </w:r>
            <w:r w:rsidRPr="00942453">
              <w:rPr>
                <w:rFonts w:ascii="Times New Roman" w:hAnsi="Times New Roman"/>
                <w:sz w:val="20"/>
              </w:rPr>
              <w:t>13</w:t>
            </w:r>
            <w:r>
              <w:rPr>
                <w:rFonts w:ascii="Times New Roman" w:hAnsi="Times New Roman"/>
                <w:sz w:val="20"/>
              </w:rPr>
              <w:t xml:space="preserve">C signature for the type of sample and </w:t>
            </w:r>
            <w:r w:rsidR="001C59BB">
              <w:rPr>
                <w:rFonts w:ascii="Times New Roman" w:hAnsi="Times New Roman"/>
                <w:sz w:val="20"/>
              </w:rPr>
              <w:t>pond</w:t>
            </w:r>
            <w:r>
              <w:rPr>
                <w:rFonts w:ascii="Times New Roman" w:hAnsi="Times New Roman"/>
                <w:sz w:val="20"/>
              </w:rPr>
              <w:t xml:space="preserve"> corresponding</w:t>
            </w:r>
          </w:p>
        </w:tc>
        <w:tc>
          <w:tcPr>
            <w:tcW w:w="1890" w:type="dxa"/>
            <w:vAlign w:val="center"/>
          </w:tcPr>
          <w:p w:rsidR="002B198A" w:rsidRPr="00880C3F" w:rsidRDefault="00880C3F" w:rsidP="00F45AC7">
            <w:pPr>
              <w:spacing w:after="0" w:line="240" w:lineRule="auto"/>
              <w:rPr>
                <w:rFonts w:ascii="Times New Roman" w:hAnsi="Times New Roman"/>
                <w:sz w:val="20"/>
              </w:rPr>
            </w:pPr>
            <w:r>
              <w:rPr>
                <w:rFonts w:ascii="Times New Roman" w:hAnsi="Times New Roman"/>
                <w:sz w:val="20"/>
              </w:rPr>
              <w:t>‰</w:t>
            </w:r>
          </w:p>
        </w:tc>
      </w:tr>
      <w:tr w:rsidR="00D93585" w:rsidRPr="0017567B" w:rsidTr="00F45AC7">
        <w:trPr>
          <w:trHeight w:val="300"/>
        </w:trPr>
        <w:tc>
          <w:tcPr>
            <w:tcW w:w="2088" w:type="dxa"/>
            <w:noWrap/>
            <w:vAlign w:val="center"/>
          </w:tcPr>
          <w:p w:rsidR="00D93585" w:rsidRPr="0017567B" w:rsidRDefault="00D93585" w:rsidP="00F45AC7">
            <w:pPr>
              <w:spacing w:after="0" w:line="240" w:lineRule="auto"/>
              <w:rPr>
                <w:rFonts w:ascii="Times New Roman" w:hAnsi="Times New Roman"/>
                <w:sz w:val="20"/>
              </w:rPr>
            </w:pPr>
            <w:r w:rsidRPr="00880C3F">
              <w:rPr>
                <w:rFonts w:ascii="Times New Roman" w:hAnsi="Times New Roman"/>
                <w:sz w:val="20"/>
              </w:rPr>
              <w:t>d2H Mean</w:t>
            </w:r>
          </w:p>
        </w:tc>
        <w:tc>
          <w:tcPr>
            <w:tcW w:w="4950" w:type="dxa"/>
            <w:vAlign w:val="center"/>
          </w:tcPr>
          <w:p w:rsidR="00D93585" w:rsidRPr="00880C3F" w:rsidRDefault="00D93585" w:rsidP="00987B6A">
            <w:pPr>
              <w:spacing w:after="0" w:line="240" w:lineRule="auto"/>
              <w:jc w:val="both"/>
              <w:rPr>
                <w:rFonts w:ascii="Times New Roman" w:hAnsi="Times New Roman"/>
                <w:sz w:val="20"/>
              </w:rPr>
            </w:pPr>
            <w:r>
              <w:rPr>
                <w:rFonts w:ascii="Times New Roman" w:hAnsi="Times New Roman"/>
                <w:sz w:val="20"/>
              </w:rPr>
              <w:t>Mean of the d</w:t>
            </w:r>
            <w:r w:rsidRPr="00942453">
              <w:rPr>
                <w:rFonts w:ascii="Times New Roman" w:hAnsi="Times New Roman"/>
                <w:sz w:val="20"/>
              </w:rPr>
              <w:t>2</w:t>
            </w:r>
            <w:r>
              <w:rPr>
                <w:rFonts w:ascii="Times New Roman" w:hAnsi="Times New Roman"/>
                <w:sz w:val="20"/>
              </w:rPr>
              <w:t>H s</w:t>
            </w:r>
            <w:r w:rsidR="001C59BB">
              <w:rPr>
                <w:rFonts w:ascii="Times New Roman" w:hAnsi="Times New Roman"/>
                <w:sz w:val="20"/>
              </w:rPr>
              <w:t>ignature for the type of sample</w:t>
            </w:r>
            <w:r>
              <w:rPr>
                <w:rFonts w:ascii="Times New Roman" w:hAnsi="Times New Roman"/>
                <w:sz w:val="20"/>
              </w:rPr>
              <w:t xml:space="preserve"> and </w:t>
            </w:r>
            <w:r w:rsidR="001C59BB">
              <w:rPr>
                <w:rFonts w:ascii="Times New Roman" w:hAnsi="Times New Roman"/>
                <w:sz w:val="20"/>
              </w:rPr>
              <w:t>pond</w:t>
            </w:r>
            <w:r>
              <w:rPr>
                <w:rFonts w:ascii="Times New Roman" w:hAnsi="Times New Roman"/>
                <w:sz w:val="20"/>
              </w:rPr>
              <w:t xml:space="preserve"> corresponding</w:t>
            </w:r>
          </w:p>
        </w:tc>
        <w:tc>
          <w:tcPr>
            <w:tcW w:w="1890" w:type="dxa"/>
            <w:vAlign w:val="center"/>
          </w:tcPr>
          <w:p w:rsidR="00D93585" w:rsidRPr="00880C3F" w:rsidRDefault="00D93585" w:rsidP="00F45AC7">
            <w:pPr>
              <w:spacing w:after="0" w:line="240" w:lineRule="auto"/>
              <w:rPr>
                <w:rFonts w:ascii="Times New Roman" w:hAnsi="Times New Roman"/>
                <w:sz w:val="20"/>
              </w:rPr>
            </w:pPr>
            <w:r>
              <w:rPr>
                <w:rFonts w:ascii="Times New Roman" w:hAnsi="Times New Roman"/>
                <w:sz w:val="20"/>
              </w:rPr>
              <w:t>‰</w:t>
            </w:r>
          </w:p>
        </w:tc>
      </w:tr>
      <w:tr w:rsidR="00D93585" w:rsidRPr="0017567B" w:rsidTr="00F45AC7">
        <w:trPr>
          <w:trHeight w:val="300"/>
        </w:trPr>
        <w:tc>
          <w:tcPr>
            <w:tcW w:w="2088" w:type="dxa"/>
            <w:noWrap/>
            <w:vAlign w:val="center"/>
          </w:tcPr>
          <w:p w:rsidR="00D93585" w:rsidRPr="0017567B" w:rsidRDefault="00D93585" w:rsidP="00F45AC7">
            <w:pPr>
              <w:spacing w:after="0" w:line="240" w:lineRule="auto"/>
              <w:rPr>
                <w:rFonts w:ascii="Times New Roman" w:hAnsi="Times New Roman"/>
                <w:sz w:val="20"/>
              </w:rPr>
            </w:pPr>
            <w:r w:rsidRPr="00880C3F">
              <w:rPr>
                <w:rFonts w:ascii="Times New Roman" w:hAnsi="Times New Roman"/>
                <w:sz w:val="20"/>
              </w:rPr>
              <w:t>d2H SD</w:t>
            </w:r>
          </w:p>
        </w:tc>
        <w:tc>
          <w:tcPr>
            <w:tcW w:w="4950" w:type="dxa"/>
            <w:vAlign w:val="center"/>
          </w:tcPr>
          <w:p w:rsidR="00D93585" w:rsidRPr="00880C3F" w:rsidRDefault="00D93585" w:rsidP="00987B6A">
            <w:pPr>
              <w:spacing w:after="0" w:line="240" w:lineRule="auto"/>
              <w:jc w:val="both"/>
              <w:rPr>
                <w:rFonts w:ascii="Times New Roman" w:hAnsi="Times New Roman"/>
                <w:sz w:val="20"/>
              </w:rPr>
            </w:pPr>
            <w:r>
              <w:rPr>
                <w:rFonts w:ascii="Times New Roman" w:hAnsi="Times New Roman"/>
                <w:sz w:val="20"/>
              </w:rPr>
              <w:t>Standard deviation of the d</w:t>
            </w:r>
            <w:r w:rsidRPr="00942453">
              <w:rPr>
                <w:rFonts w:ascii="Times New Roman" w:hAnsi="Times New Roman"/>
                <w:sz w:val="20"/>
              </w:rPr>
              <w:t>2</w:t>
            </w:r>
            <w:r w:rsidRPr="00D93585">
              <w:rPr>
                <w:rFonts w:ascii="Times New Roman" w:hAnsi="Times New Roman"/>
                <w:sz w:val="20"/>
              </w:rPr>
              <w:t>H</w:t>
            </w:r>
            <w:r>
              <w:rPr>
                <w:rFonts w:ascii="Times New Roman" w:hAnsi="Times New Roman"/>
                <w:sz w:val="20"/>
              </w:rPr>
              <w:t xml:space="preserve"> s</w:t>
            </w:r>
            <w:r w:rsidR="001C59BB">
              <w:rPr>
                <w:rFonts w:ascii="Times New Roman" w:hAnsi="Times New Roman"/>
                <w:sz w:val="20"/>
              </w:rPr>
              <w:t>ignature for the type of sample</w:t>
            </w:r>
            <w:r>
              <w:rPr>
                <w:rFonts w:ascii="Times New Roman" w:hAnsi="Times New Roman"/>
                <w:sz w:val="20"/>
              </w:rPr>
              <w:t xml:space="preserve"> and </w:t>
            </w:r>
            <w:r w:rsidR="001C59BB">
              <w:rPr>
                <w:rFonts w:ascii="Times New Roman" w:hAnsi="Times New Roman"/>
                <w:sz w:val="20"/>
              </w:rPr>
              <w:t>pond</w:t>
            </w:r>
            <w:r>
              <w:rPr>
                <w:rFonts w:ascii="Times New Roman" w:hAnsi="Times New Roman"/>
                <w:sz w:val="20"/>
              </w:rPr>
              <w:t xml:space="preserve"> corresponding</w:t>
            </w:r>
          </w:p>
        </w:tc>
        <w:tc>
          <w:tcPr>
            <w:tcW w:w="1890" w:type="dxa"/>
            <w:vAlign w:val="center"/>
          </w:tcPr>
          <w:p w:rsidR="00D93585" w:rsidRPr="00880C3F" w:rsidRDefault="00D93585" w:rsidP="00F45AC7">
            <w:pPr>
              <w:spacing w:after="0" w:line="240" w:lineRule="auto"/>
              <w:rPr>
                <w:rFonts w:ascii="Times New Roman" w:hAnsi="Times New Roman"/>
                <w:sz w:val="20"/>
              </w:rPr>
            </w:pPr>
            <w:r>
              <w:rPr>
                <w:rFonts w:ascii="Times New Roman" w:hAnsi="Times New Roman"/>
                <w:sz w:val="20"/>
              </w:rPr>
              <w:t>‰</w:t>
            </w:r>
          </w:p>
        </w:tc>
      </w:tr>
    </w:tbl>
    <w:p w:rsidR="005A45DB" w:rsidRDefault="005A45DB" w:rsidP="008A5C3C">
      <w:pPr>
        <w:tabs>
          <w:tab w:val="left" w:pos="7710"/>
        </w:tabs>
        <w:rPr>
          <w:rFonts w:ascii="Times New Roman" w:hAnsi="Times New Roman"/>
        </w:rPr>
      </w:pPr>
    </w:p>
    <w:p w:rsidR="005A45DB" w:rsidRPr="00A27683" w:rsidRDefault="005A45DB" w:rsidP="00A27683">
      <w:pPr>
        <w:tabs>
          <w:tab w:val="left" w:pos="7710"/>
        </w:tabs>
        <w:jc w:val="both"/>
        <w:rPr>
          <w:rFonts w:ascii="Times New Roman" w:hAnsi="Times New Roman"/>
          <w:b/>
        </w:rPr>
      </w:pPr>
      <w:r w:rsidRPr="00A27683">
        <w:rPr>
          <w:rFonts w:ascii="Times New Roman" w:hAnsi="Times New Roman"/>
          <w:b/>
        </w:rPr>
        <w:t>References</w:t>
      </w:r>
    </w:p>
    <w:p w:rsidR="00A27683" w:rsidRPr="00A27683" w:rsidRDefault="00783BC1" w:rsidP="00A27683">
      <w:pPr>
        <w:pStyle w:val="EndNoteBibliography"/>
        <w:spacing w:after="0"/>
        <w:ind w:left="720" w:hanging="720"/>
        <w:jc w:val="both"/>
      </w:pPr>
      <w:r>
        <w:fldChar w:fldCharType="begin"/>
      </w:r>
      <w:r w:rsidR="00A27683">
        <w:instrText xml:space="preserve"> ADDIN EN.REFLIST </w:instrText>
      </w:r>
      <w:r>
        <w:fldChar w:fldCharType="separate"/>
      </w:r>
      <w:r w:rsidR="00A27683" w:rsidRPr="00A27683">
        <w:t xml:space="preserve">Doucett, R. R., J. C. Marks, D. W. Blinn, M. Caron, and B. A. Hungate. 2007. Measuring terrestrial subsidies to aquatic food webs using stable isotopes of hydrogen. Ecology </w:t>
      </w:r>
      <w:r w:rsidR="00A27683" w:rsidRPr="00A27683">
        <w:rPr>
          <w:b/>
        </w:rPr>
        <w:t>88</w:t>
      </w:r>
      <w:r w:rsidR="00A27683" w:rsidRPr="00A27683">
        <w:t>:1587-1592.</w:t>
      </w:r>
    </w:p>
    <w:p w:rsidR="00A27683" w:rsidRPr="00A27683" w:rsidRDefault="00A27683" w:rsidP="00A27683">
      <w:pPr>
        <w:pStyle w:val="EndNoteBibliography"/>
        <w:spacing w:after="0"/>
        <w:ind w:left="720" w:hanging="720"/>
        <w:jc w:val="both"/>
      </w:pPr>
      <w:r w:rsidRPr="00A27683">
        <w:t xml:space="preserve">Grosbois, G., P. A. del Giorgio, and M. Rautio. 2017. Zooplankton allochthony is spatially heterogeneous in a boreal lake. Freshwater Biology </w:t>
      </w:r>
      <w:r w:rsidRPr="00A27683">
        <w:rPr>
          <w:b/>
        </w:rPr>
        <w:t>62</w:t>
      </w:r>
      <w:r w:rsidRPr="00A27683">
        <w:t>:474-490.</w:t>
      </w:r>
    </w:p>
    <w:p w:rsidR="00A27683" w:rsidRPr="00A27683" w:rsidRDefault="00A27683" w:rsidP="00A27683">
      <w:pPr>
        <w:pStyle w:val="EndNoteBibliography"/>
        <w:spacing w:after="0"/>
        <w:ind w:left="720" w:hanging="720"/>
        <w:jc w:val="both"/>
      </w:pPr>
      <w:r w:rsidRPr="00A27683">
        <w:t xml:space="preserve">Lepage, G., and C. C. Roy. 1984. Improved recovery of fatty acid through direct transesterification without prior extraction or purification. J Lipid Res </w:t>
      </w:r>
      <w:r w:rsidRPr="00A27683">
        <w:rPr>
          <w:b/>
        </w:rPr>
        <w:t>25</w:t>
      </w:r>
      <w:r w:rsidRPr="00A27683">
        <w:t>:1391-1396.</w:t>
      </w:r>
    </w:p>
    <w:p w:rsidR="00A27683" w:rsidRPr="00A27683" w:rsidRDefault="00A27683" w:rsidP="00A27683">
      <w:pPr>
        <w:pStyle w:val="EndNoteBibliography"/>
        <w:spacing w:after="0"/>
        <w:ind w:left="720" w:hanging="720"/>
        <w:jc w:val="both"/>
      </w:pPr>
      <w:r w:rsidRPr="00A27683">
        <w:t xml:space="preserve">Loiselle, S. A., L. Bracchini, A. Cózar, A. M. Dattilo, A. Tognazzi, and C. Rossi. 2009. Variability in photobleaching yields and their related impacts on optical conditions in subtropical lakes. Journal of Photochemistry and Photobiology B: Biology </w:t>
      </w:r>
      <w:r w:rsidRPr="00A27683">
        <w:rPr>
          <w:b/>
        </w:rPr>
        <w:t>95</w:t>
      </w:r>
      <w:r w:rsidRPr="00A27683">
        <w:t>:129-137.</w:t>
      </w:r>
    </w:p>
    <w:p w:rsidR="00A27683" w:rsidRPr="00A27683" w:rsidRDefault="00A27683" w:rsidP="00A27683">
      <w:pPr>
        <w:pStyle w:val="EndNoteBibliography"/>
        <w:spacing w:after="0"/>
        <w:ind w:left="720" w:hanging="720"/>
        <w:jc w:val="both"/>
      </w:pPr>
      <w:r w:rsidRPr="00A27683">
        <w:lastRenderedPageBreak/>
        <w:t xml:space="preserve">Murphy, K. R., K. D. Butler, R. G. M. Spencer, C. A. Stedmon, J. R. Boehme, and G. R. Aiken. 2010. Measurement of dissolved organic matter fluorescence in aquatic environments: An interlaboratory comparison. Environmental Science &amp; Technology </w:t>
      </w:r>
      <w:r w:rsidRPr="00A27683">
        <w:rPr>
          <w:b/>
        </w:rPr>
        <w:t>44</w:t>
      </w:r>
      <w:r w:rsidRPr="00A27683">
        <w:t>:9405-9412.</w:t>
      </w:r>
    </w:p>
    <w:p w:rsidR="00A27683" w:rsidRPr="00A27683" w:rsidRDefault="00A27683" w:rsidP="00A27683">
      <w:pPr>
        <w:pStyle w:val="EndNoteBibliography"/>
        <w:spacing w:after="0"/>
        <w:ind w:left="720" w:hanging="720"/>
        <w:jc w:val="both"/>
      </w:pPr>
      <w:r w:rsidRPr="00A27683">
        <w:t xml:space="preserve">Murphy, K. R., C. A. Stedmon, D. Graeber, and R. Bro. 2013. Fluorescence spectroscopy and multi-way techniques. PARAFAC. Analytical Methods </w:t>
      </w:r>
      <w:r w:rsidRPr="00A27683">
        <w:rPr>
          <w:b/>
        </w:rPr>
        <w:t>5</w:t>
      </w:r>
      <w:r w:rsidRPr="00A27683">
        <w:t>:6557-6566.</w:t>
      </w:r>
    </w:p>
    <w:p w:rsidR="00A27683" w:rsidRPr="00A27683" w:rsidRDefault="00A27683" w:rsidP="00A27683">
      <w:pPr>
        <w:pStyle w:val="EndNoteBibliography"/>
        <w:spacing w:after="0"/>
        <w:ind w:left="720" w:hanging="720"/>
        <w:jc w:val="both"/>
      </w:pPr>
      <w:r w:rsidRPr="00A27683">
        <w:t xml:space="preserve">Nusch, E. A. 1980. Comparison of different methods for chlorophyll and phaeopigments determination. Archiv für Hydrobiologia </w:t>
      </w:r>
      <w:r w:rsidRPr="00A27683">
        <w:rPr>
          <w:b/>
        </w:rPr>
        <w:t>14</w:t>
      </w:r>
      <w:r w:rsidRPr="00A27683">
        <w:t>:14-35.</w:t>
      </w:r>
    </w:p>
    <w:p w:rsidR="00A27683" w:rsidRPr="00A27683" w:rsidRDefault="00A27683" w:rsidP="00A27683">
      <w:pPr>
        <w:pStyle w:val="EndNoteBibliography"/>
        <w:spacing w:after="0"/>
        <w:ind w:left="720" w:hanging="720"/>
        <w:jc w:val="both"/>
      </w:pPr>
      <w:r w:rsidRPr="00A27683">
        <w:t>Ramnarine, R., R. P. Voroney, C. Wagner-Riddle, and K. E. Dunfield. 2011. Carbonate removal by acid fumigation for measuring the δ</w:t>
      </w:r>
      <w:r w:rsidRPr="00A27683">
        <w:rPr>
          <w:vertAlign w:val="superscript"/>
        </w:rPr>
        <w:t>13</w:t>
      </w:r>
      <w:r w:rsidRPr="00A27683">
        <w:t xml:space="preserve">C of soil organic carbon. Canadian Journal of Soil Science </w:t>
      </w:r>
      <w:r w:rsidRPr="00A27683">
        <w:rPr>
          <w:b/>
        </w:rPr>
        <w:t>91</w:t>
      </w:r>
      <w:r w:rsidRPr="00A27683">
        <w:t>:247-250.</w:t>
      </w:r>
    </w:p>
    <w:p w:rsidR="00A27683" w:rsidRPr="00A27683" w:rsidRDefault="00A27683" w:rsidP="00A27683">
      <w:pPr>
        <w:pStyle w:val="EndNoteBibliography"/>
        <w:ind w:left="720" w:hanging="720"/>
        <w:jc w:val="both"/>
      </w:pPr>
      <w:r w:rsidRPr="00A27683">
        <w:t xml:space="preserve">Wilkinson, G. M., S. R. Carpenter, J. J. Cole, and M. L. Pace. 2014. Use of deep autochthonous resources by zooplankton: Results of a metalimnetic addition of </w:t>
      </w:r>
      <w:r w:rsidRPr="00A27683">
        <w:rPr>
          <w:vertAlign w:val="superscript"/>
        </w:rPr>
        <w:t>13</w:t>
      </w:r>
      <w:r w:rsidRPr="00A27683">
        <w:t xml:space="preserve">C to a small lake. Limnology and Oceanography </w:t>
      </w:r>
      <w:r w:rsidRPr="00A27683">
        <w:rPr>
          <w:b/>
        </w:rPr>
        <w:t>59</w:t>
      </w:r>
      <w:r w:rsidRPr="00A27683">
        <w:t>:986-996.</w:t>
      </w:r>
    </w:p>
    <w:p w:rsidR="008A5C3C" w:rsidRPr="008A5C3C" w:rsidRDefault="00783BC1" w:rsidP="00A27683">
      <w:pPr>
        <w:tabs>
          <w:tab w:val="left" w:pos="7710"/>
        </w:tabs>
        <w:jc w:val="both"/>
        <w:rPr>
          <w:rFonts w:ascii="Times New Roman" w:hAnsi="Times New Roman"/>
        </w:rPr>
      </w:pPr>
      <w:r>
        <w:rPr>
          <w:rFonts w:ascii="Times New Roman" w:hAnsi="Times New Roman"/>
        </w:rPr>
        <w:fldChar w:fldCharType="end"/>
      </w:r>
    </w:p>
    <w:sectPr w:rsidR="008A5C3C" w:rsidRPr="008A5C3C" w:rsidSect="00DD51B1">
      <w:footerReference w:type="default" r:id="rId8"/>
      <w:headerReference w:type="first" r:id="rId9"/>
      <w:pgSz w:w="12240" w:h="15840"/>
      <w:pgMar w:top="1260" w:right="1440" w:bottom="900" w:left="1440" w:header="720"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12A" w:rsidRDefault="0081212A" w:rsidP="00B337A9">
      <w:pPr>
        <w:spacing w:after="0" w:line="240" w:lineRule="auto"/>
      </w:pPr>
      <w:r>
        <w:separator/>
      </w:r>
    </w:p>
  </w:endnote>
  <w:endnote w:type="continuationSeparator" w:id="0">
    <w:p w:rsidR="0081212A" w:rsidRDefault="0081212A" w:rsidP="00B3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7B" w:rsidRPr="00DD51B1" w:rsidRDefault="00DD51B1">
    <w:pPr>
      <w:pStyle w:val="Pieddepage"/>
      <w:jc w:val="right"/>
      <w:rPr>
        <w:i/>
      </w:rPr>
    </w:pPr>
    <w:r w:rsidRPr="00DD51B1">
      <w:rPr>
        <w:i/>
      </w:rPr>
      <w:t>Metadata form for LO-Letters</w:t>
    </w:r>
    <w:r w:rsidRPr="00DD51B1">
      <w:rPr>
        <w:i/>
      </w:rPr>
      <w:tab/>
    </w:r>
    <w:r w:rsidRPr="00DD51B1">
      <w:rPr>
        <w:i/>
      </w:rPr>
      <w:tab/>
    </w:r>
    <w:r w:rsidR="00783BC1" w:rsidRPr="00DD51B1">
      <w:rPr>
        <w:i/>
      </w:rPr>
      <w:fldChar w:fldCharType="begin"/>
    </w:r>
    <w:r w:rsidR="0017567B" w:rsidRPr="00DD51B1">
      <w:rPr>
        <w:i/>
      </w:rPr>
      <w:instrText xml:space="preserve"> PAGE   \* MERGEFORMAT </w:instrText>
    </w:r>
    <w:r w:rsidR="00783BC1" w:rsidRPr="00DD51B1">
      <w:rPr>
        <w:i/>
      </w:rPr>
      <w:fldChar w:fldCharType="separate"/>
    </w:r>
    <w:r w:rsidR="00927639">
      <w:rPr>
        <w:i/>
        <w:noProof/>
      </w:rPr>
      <w:t>5</w:t>
    </w:r>
    <w:r w:rsidR="00783BC1" w:rsidRPr="00DD51B1">
      <w:rPr>
        <w:i/>
      </w:rPr>
      <w:fldChar w:fldCharType="end"/>
    </w:r>
  </w:p>
  <w:p w:rsidR="00AC325B" w:rsidRDefault="00AC32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12A" w:rsidRDefault="0081212A" w:rsidP="00B337A9">
      <w:pPr>
        <w:spacing w:after="0" w:line="240" w:lineRule="auto"/>
      </w:pPr>
      <w:r>
        <w:separator/>
      </w:r>
    </w:p>
  </w:footnote>
  <w:footnote w:type="continuationSeparator" w:id="0">
    <w:p w:rsidR="0081212A" w:rsidRDefault="0081212A" w:rsidP="00B33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789" w:rsidRDefault="00155789">
    <w:pPr>
      <w:pStyle w:val="En-tte"/>
    </w:pPr>
    <w:r>
      <w:t>Template – 9/7/15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F681E"/>
    <w:multiLevelType w:val="hybridMultilevel"/>
    <w:tmpl w:val="06D2DF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CDD0836"/>
    <w:multiLevelType w:val="hybridMultilevel"/>
    <w:tmpl w:val="4A58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Ec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ap5xdperdt93e5evapza9wrdsdz9speffv&quot;&gt;My EndNote Library&lt;record-ids&gt;&lt;item&gt;55&lt;/item&gt;&lt;item&gt;568&lt;/item&gt;&lt;item&gt;608&lt;/item&gt;&lt;item&gt;609&lt;/item&gt;&lt;item&gt;660&lt;/item&gt;&lt;item&gt;700&lt;/item&gt;&lt;item&gt;704&lt;/item&gt;&lt;item&gt;710&lt;/item&gt;&lt;item&gt;717&lt;/item&gt;&lt;item&gt;733&lt;/item&gt;&lt;/record-ids&gt;&lt;/item&gt;&lt;/Libraries&gt;"/>
  </w:docVars>
  <w:rsids>
    <w:rsidRoot w:val="0086168E"/>
    <w:rsid w:val="00015588"/>
    <w:rsid w:val="0001723C"/>
    <w:rsid w:val="000215D8"/>
    <w:rsid w:val="0002394C"/>
    <w:rsid w:val="000241AC"/>
    <w:rsid w:val="00031BCF"/>
    <w:rsid w:val="00035B72"/>
    <w:rsid w:val="000422AF"/>
    <w:rsid w:val="00053FB7"/>
    <w:rsid w:val="00056F55"/>
    <w:rsid w:val="0006456E"/>
    <w:rsid w:val="0007259F"/>
    <w:rsid w:val="000735C5"/>
    <w:rsid w:val="00081C53"/>
    <w:rsid w:val="00087C69"/>
    <w:rsid w:val="0009116F"/>
    <w:rsid w:val="00091327"/>
    <w:rsid w:val="0009199B"/>
    <w:rsid w:val="00097AE4"/>
    <w:rsid w:val="000B71AD"/>
    <w:rsid w:val="000C67D1"/>
    <w:rsid w:val="000C7C79"/>
    <w:rsid w:val="000F35ED"/>
    <w:rsid w:val="000F41AC"/>
    <w:rsid w:val="000F7D91"/>
    <w:rsid w:val="001050E6"/>
    <w:rsid w:val="00120135"/>
    <w:rsid w:val="00123A8C"/>
    <w:rsid w:val="00130CF1"/>
    <w:rsid w:val="0014542F"/>
    <w:rsid w:val="00151DAE"/>
    <w:rsid w:val="00153044"/>
    <w:rsid w:val="00155789"/>
    <w:rsid w:val="00161206"/>
    <w:rsid w:val="00167A10"/>
    <w:rsid w:val="00167E01"/>
    <w:rsid w:val="0017567B"/>
    <w:rsid w:val="00176F3C"/>
    <w:rsid w:val="00183C39"/>
    <w:rsid w:val="00195DEE"/>
    <w:rsid w:val="001970B1"/>
    <w:rsid w:val="001A10E9"/>
    <w:rsid w:val="001C59BB"/>
    <w:rsid w:val="001C5BE4"/>
    <w:rsid w:val="001D2769"/>
    <w:rsid w:val="001D49E5"/>
    <w:rsid w:val="001E1DB0"/>
    <w:rsid w:val="001F3B6B"/>
    <w:rsid w:val="00224EBE"/>
    <w:rsid w:val="0023289B"/>
    <w:rsid w:val="00232CB1"/>
    <w:rsid w:val="00235A72"/>
    <w:rsid w:val="00241B0B"/>
    <w:rsid w:val="00250C1A"/>
    <w:rsid w:val="002523F3"/>
    <w:rsid w:val="002538D1"/>
    <w:rsid w:val="0027463E"/>
    <w:rsid w:val="002A7755"/>
    <w:rsid w:val="002B198A"/>
    <w:rsid w:val="002B22E5"/>
    <w:rsid w:val="002B3B4B"/>
    <w:rsid w:val="002B5BEA"/>
    <w:rsid w:val="002B7A7D"/>
    <w:rsid w:val="002C2CAD"/>
    <w:rsid w:val="002C481C"/>
    <w:rsid w:val="002C74AE"/>
    <w:rsid w:val="002D1B3D"/>
    <w:rsid w:val="002D34FA"/>
    <w:rsid w:val="002E0071"/>
    <w:rsid w:val="002E4940"/>
    <w:rsid w:val="002E5326"/>
    <w:rsid w:val="002E56FA"/>
    <w:rsid w:val="0030415D"/>
    <w:rsid w:val="00305D21"/>
    <w:rsid w:val="0031064F"/>
    <w:rsid w:val="00310F03"/>
    <w:rsid w:val="003112DB"/>
    <w:rsid w:val="00315A15"/>
    <w:rsid w:val="00317705"/>
    <w:rsid w:val="00330CFD"/>
    <w:rsid w:val="00333459"/>
    <w:rsid w:val="00335C11"/>
    <w:rsid w:val="00345971"/>
    <w:rsid w:val="00345B23"/>
    <w:rsid w:val="00346822"/>
    <w:rsid w:val="00376645"/>
    <w:rsid w:val="00381ACA"/>
    <w:rsid w:val="003942A2"/>
    <w:rsid w:val="003A410F"/>
    <w:rsid w:val="003B3707"/>
    <w:rsid w:val="003B6202"/>
    <w:rsid w:val="003C62DF"/>
    <w:rsid w:val="003D5450"/>
    <w:rsid w:val="003E0FE5"/>
    <w:rsid w:val="003E320E"/>
    <w:rsid w:val="003F277F"/>
    <w:rsid w:val="00403A82"/>
    <w:rsid w:val="0040717C"/>
    <w:rsid w:val="00410032"/>
    <w:rsid w:val="00410074"/>
    <w:rsid w:val="00410D18"/>
    <w:rsid w:val="00423961"/>
    <w:rsid w:val="00424821"/>
    <w:rsid w:val="0042677D"/>
    <w:rsid w:val="00434FB3"/>
    <w:rsid w:val="004364CB"/>
    <w:rsid w:val="0044671E"/>
    <w:rsid w:val="004476FB"/>
    <w:rsid w:val="00483E69"/>
    <w:rsid w:val="00490857"/>
    <w:rsid w:val="004A51FC"/>
    <w:rsid w:val="004B2F8D"/>
    <w:rsid w:val="004C0EB4"/>
    <w:rsid w:val="004C3CF1"/>
    <w:rsid w:val="004C57C7"/>
    <w:rsid w:val="004D2D20"/>
    <w:rsid w:val="004E665F"/>
    <w:rsid w:val="004F0AF9"/>
    <w:rsid w:val="004F0FE6"/>
    <w:rsid w:val="004F3177"/>
    <w:rsid w:val="004F49F9"/>
    <w:rsid w:val="00504869"/>
    <w:rsid w:val="0051344B"/>
    <w:rsid w:val="005220EF"/>
    <w:rsid w:val="00527BB7"/>
    <w:rsid w:val="005327E5"/>
    <w:rsid w:val="0053754D"/>
    <w:rsid w:val="0054321D"/>
    <w:rsid w:val="0054755A"/>
    <w:rsid w:val="00551551"/>
    <w:rsid w:val="00556ABB"/>
    <w:rsid w:val="005732A2"/>
    <w:rsid w:val="005875B4"/>
    <w:rsid w:val="005963E2"/>
    <w:rsid w:val="005A45DB"/>
    <w:rsid w:val="005B2F24"/>
    <w:rsid w:val="005B379E"/>
    <w:rsid w:val="005B52DC"/>
    <w:rsid w:val="005C23B6"/>
    <w:rsid w:val="005C7797"/>
    <w:rsid w:val="005D262F"/>
    <w:rsid w:val="005E1969"/>
    <w:rsid w:val="005E5874"/>
    <w:rsid w:val="005E7860"/>
    <w:rsid w:val="005F1C13"/>
    <w:rsid w:val="00604819"/>
    <w:rsid w:val="006214AE"/>
    <w:rsid w:val="006224DE"/>
    <w:rsid w:val="00622DDD"/>
    <w:rsid w:val="00635244"/>
    <w:rsid w:val="00642F66"/>
    <w:rsid w:val="00643CE1"/>
    <w:rsid w:val="00647AF0"/>
    <w:rsid w:val="0065006A"/>
    <w:rsid w:val="006568F5"/>
    <w:rsid w:val="006643CB"/>
    <w:rsid w:val="00670CBF"/>
    <w:rsid w:val="00675A02"/>
    <w:rsid w:val="0068505F"/>
    <w:rsid w:val="00686F8C"/>
    <w:rsid w:val="006A5063"/>
    <w:rsid w:val="006A782F"/>
    <w:rsid w:val="006B2499"/>
    <w:rsid w:val="006C2259"/>
    <w:rsid w:val="006C3A86"/>
    <w:rsid w:val="006C4764"/>
    <w:rsid w:val="006D5502"/>
    <w:rsid w:val="006D7B11"/>
    <w:rsid w:val="006E18AC"/>
    <w:rsid w:val="006F7157"/>
    <w:rsid w:val="00707080"/>
    <w:rsid w:val="0071456B"/>
    <w:rsid w:val="00722AA5"/>
    <w:rsid w:val="007238FD"/>
    <w:rsid w:val="00726C4F"/>
    <w:rsid w:val="0073389D"/>
    <w:rsid w:val="00734BC6"/>
    <w:rsid w:val="007472A8"/>
    <w:rsid w:val="007715E3"/>
    <w:rsid w:val="00771B95"/>
    <w:rsid w:val="00783BC1"/>
    <w:rsid w:val="00791D44"/>
    <w:rsid w:val="007A5451"/>
    <w:rsid w:val="007C0508"/>
    <w:rsid w:val="007C76CB"/>
    <w:rsid w:val="007D43CF"/>
    <w:rsid w:val="007E23D0"/>
    <w:rsid w:val="007E24EB"/>
    <w:rsid w:val="007E2CB0"/>
    <w:rsid w:val="007F2581"/>
    <w:rsid w:val="007F37A2"/>
    <w:rsid w:val="00804C03"/>
    <w:rsid w:val="00806CC2"/>
    <w:rsid w:val="00811AF8"/>
    <w:rsid w:val="0081212A"/>
    <w:rsid w:val="00827299"/>
    <w:rsid w:val="00830709"/>
    <w:rsid w:val="00830AF3"/>
    <w:rsid w:val="00836633"/>
    <w:rsid w:val="008414A0"/>
    <w:rsid w:val="00842210"/>
    <w:rsid w:val="008523D6"/>
    <w:rsid w:val="008615D4"/>
    <w:rsid w:val="0086168E"/>
    <w:rsid w:val="00874D57"/>
    <w:rsid w:val="008808E3"/>
    <w:rsid w:val="00880C3F"/>
    <w:rsid w:val="008A391A"/>
    <w:rsid w:val="008A5C3C"/>
    <w:rsid w:val="008C01AC"/>
    <w:rsid w:val="008C2166"/>
    <w:rsid w:val="008C47CB"/>
    <w:rsid w:val="008D4E05"/>
    <w:rsid w:val="008D5959"/>
    <w:rsid w:val="008E4E83"/>
    <w:rsid w:val="00902BC6"/>
    <w:rsid w:val="00903AAA"/>
    <w:rsid w:val="00911C42"/>
    <w:rsid w:val="009222DA"/>
    <w:rsid w:val="00922821"/>
    <w:rsid w:val="00927639"/>
    <w:rsid w:val="0094082C"/>
    <w:rsid w:val="00940985"/>
    <w:rsid w:val="00942453"/>
    <w:rsid w:val="00943166"/>
    <w:rsid w:val="00947168"/>
    <w:rsid w:val="00971C4C"/>
    <w:rsid w:val="00987B6A"/>
    <w:rsid w:val="00994123"/>
    <w:rsid w:val="009A1982"/>
    <w:rsid w:val="009A3BDF"/>
    <w:rsid w:val="009A4BD7"/>
    <w:rsid w:val="009A689A"/>
    <w:rsid w:val="009B2675"/>
    <w:rsid w:val="009C52CF"/>
    <w:rsid w:val="009C7AF3"/>
    <w:rsid w:val="009D6656"/>
    <w:rsid w:val="009E0A29"/>
    <w:rsid w:val="009E3279"/>
    <w:rsid w:val="009E352C"/>
    <w:rsid w:val="009E536E"/>
    <w:rsid w:val="009F5111"/>
    <w:rsid w:val="00A013C1"/>
    <w:rsid w:val="00A03904"/>
    <w:rsid w:val="00A10230"/>
    <w:rsid w:val="00A204B8"/>
    <w:rsid w:val="00A2538E"/>
    <w:rsid w:val="00A27683"/>
    <w:rsid w:val="00A37E03"/>
    <w:rsid w:val="00A430AC"/>
    <w:rsid w:val="00A45309"/>
    <w:rsid w:val="00A573C5"/>
    <w:rsid w:val="00A625E2"/>
    <w:rsid w:val="00A644D8"/>
    <w:rsid w:val="00A66837"/>
    <w:rsid w:val="00A73302"/>
    <w:rsid w:val="00A76EF8"/>
    <w:rsid w:val="00AA0C31"/>
    <w:rsid w:val="00AA692C"/>
    <w:rsid w:val="00AB2064"/>
    <w:rsid w:val="00AB360F"/>
    <w:rsid w:val="00AB4AA1"/>
    <w:rsid w:val="00AB6698"/>
    <w:rsid w:val="00AC325B"/>
    <w:rsid w:val="00AE300E"/>
    <w:rsid w:val="00AF2330"/>
    <w:rsid w:val="00B15603"/>
    <w:rsid w:val="00B3086D"/>
    <w:rsid w:val="00B337A9"/>
    <w:rsid w:val="00B347EA"/>
    <w:rsid w:val="00B3624C"/>
    <w:rsid w:val="00B41BC0"/>
    <w:rsid w:val="00B464F5"/>
    <w:rsid w:val="00B6284C"/>
    <w:rsid w:val="00B65BF0"/>
    <w:rsid w:val="00B70BF9"/>
    <w:rsid w:val="00B8581B"/>
    <w:rsid w:val="00B95EFF"/>
    <w:rsid w:val="00BA052C"/>
    <w:rsid w:val="00BA1409"/>
    <w:rsid w:val="00BA3A5D"/>
    <w:rsid w:val="00BA7CBF"/>
    <w:rsid w:val="00BB6DED"/>
    <w:rsid w:val="00BC2295"/>
    <w:rsid w:val="00BC5644"/>
    <w:rsid w:val="00BE3E9D"/>
    <w:rsid w:val="00BF381C"/>
    <w:rsid w:val="00C0298F"/>
    <w:rsid w:val="00C20C59"/>
    <w:rsid w:val="00C27E22"/>
    <w:rsid w:val="00C30A2B"/>
    <w:rsid w:val="00C31813"/>
    <w:rsid w:val="00C358B5"/>
    <w:rsid w:val="00C37A8E"/>
    <w:rsid w:val="00C42C94"/>
    <w:rsid w:val="00C45CF2"/>
    <w:rsid w:val="00C705B7"/>
    <w:rsid w:val="00C80502"/>
    <w:rsid w:val="00C835BC"/>
    <w:rsid w:val="00CA132D"/>
    <w:rsid w:val="00CA2D4E"/>
    <w:rsid w:val="00CB4961"/>
    <w:rsid w:val="00CC7294"/>
    <w:rsid w:val="00CD3A1E"/>
    <w:rsid w:val="00CE04F6"/>
    <w:rsid w:val="00CE0690"/>
    <w:rsid w:val="00CE28FC"/>
    <w:rsid w:val="00CE6D02"/>
    <w:rsid w:val="00CF4A39"/>
    <w:rsid w:val="00D0414F"/>
    <w:rsid w:val="00D05F7C"/>
    <w:rsid w:val="00D07006"/>
    <w:rsid w:val="00D23343"/>
    <w:rsid w:val="00D26834"/>
    <w:rsid w:val="00D27454"/>
    <w:rsid w:val="00D330DD"/>
    <w:rsid w:val="00D36C65"/>
    <w:rsid w:val="00D406CF"/>
    <w:rsid w:val="00D43E9A"/>
    <w:rsid w:val="00D45346"/>
    <w:rsid w:val="00D462E2"/>
    <w:rsid w:val="00D5174D"/>
    <w:rsid w:val="00D5386F"/>
    <w:rsid w:val="00D60162"/>
    <w:rsid w:val="00D65A50"/>
    <w:rsid w:val="00D66BC0"/>
    <w:rsid w:val="00D66D27"/>
    <w:rsid w:val="00D83D52"/>
    <w:rsid w:val="00D87E5B"/>
    <w:rsid w:val="00D909EF"/>
    <w:rsid w:val="00D93585"/>
    <w:rsid w:val="00D94B26"/>
    <w:rsid w:val="00D95A4B"/>
    <w:rsid w:val="00D960EB"/>
    <w:rsid w:val="00D97802"/>
    <w:rsid w:val="00D97CD8"/>
    <w:rsid w:val="00DB3B02"/>
    <w:rsid w:val="00DB4D13"/>
    <w:rsid w:val="00DC1E8D"/>
    <w:rsid w:val="00DC5ADF"/>
    <w:rsid w:val="00DC6CBE"/>
    <w:rsid w:val="00DC72DC"/>
    <w:rsid w:val="00DD506F"/>
    <w:rsid w:val="00DD51B1"/>
    <w:rsid w:val="00DE1221"/>
    <w:rsid w:val="00DE7DC3"/>
    <w:rsid w:val="00DF01C5"/>
    <w:rsid w:val="00E01B0C"/>
    <w:rsid w:val="00E026B0"/>
    <w:rsid w:val="00E030C6"/>
    <w:rsid w:val="00E06797"/>
    <w:rsid w:val="00E07F65"/>
    <w:rsid w:val="00E100ED"/>
    <w:rsid w:val="00E14885"/>
    <w:rsid w:val="00E1582F"/>
    <w:rsid w:val="00E169E7"/>
    <w:rsid w:val="00E25FC2"/>
    <w:rsid w:val="00E33856"/>
    <w:rsid w:val="00E33F34"/>
    <w:rsid w:val="00E357C8"/>
    <w:rsid w:val="00E428CF"/>
    <w:rsid w:val="00E4456A"/>
    <w:rsid w:val="00E50394"/>
    <w:rsid w:val="00E5103F"/>
    <w:rsid w:val="00E55A02"/>
    <w:rsid w:val="00E57A30"/>
    <w:rsid w:val="00E57C41"/>
    <w:rsid w:val="00E65154"/>
    <w:rsid w:val="00E801CA"/>
    <w:rsid w:val="00EA50A8"/>
    <w:rsid w:val="00EA6A54"/>
    <w:rsid w:val="00EB0053"/>
    <w:rsid w:val="00EB3BC4"/>
    <w:rsid w:val="00EB7C4E"/>
    <w:rsid w:val="00ED07B1"/>
    <w:rsid w:val="00ED4556"/>
    <w:rsid w:val="00EE4048"/>
    <w:rsid w:val="00EF7010"/>
    <w:rsid w:val="00F13A69"/>
    <w:rsid w:val="00F178A5"/>
    <w:rsid w:val="00F17F08"/>
    <w:rsid w:val="00F431DB"/>
    <w:rsid w:val="00F44987"/>
    <w:rsid w:val="00F45AC7"/>
    <w:rsid w:val="00F52ADE"/>
    <w:rsid w:val="00F5385C"/>
    <w:rsid w:val="00F53FF9"/>
    <w:rsid w:val="00F54C3E"/>
    <w:rsid w:val="00F62F0A"/>
    <w:rsid w:val="00F64512"/>
    <w:rsid w:val="00F931C8"/>
    <w:rsid w:val="00FA3812"/>
    <w:rsid w:val="00FB48AD"/>
    <w:rsid w:val="00FB728F"/>
    <w:rsid w:val="00FC1824"/>
    <w:rsid w:val="00FC4283"/>
    <w:rsid w:val="00FE6604"/>
    <w:rsid w:val="00FF2D9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819"/>
    <w:pPr>
      <w:spacing w:after="200" w:line="276" w:lineRule="auto"/>
    </w:pPr>
    <w:rPr>
      <w:rFonts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5385C"/>
    <w:pPr>
      <w:spacing w:before="100" w:beforeAutospacing="1" w:after="100" w:afterAutospacing="1" w:line="240" w:lineRule="auto"/>
    </w:pPr>
    <w:rPr>
      <w:rFonts w:ascii="Times New Roman" w:hAnsi="Times New Roman"/>
      <w:sz w:val="24"/>
      <w:szCs w:val="24"/>
    </w:rPr>
  </w:style>
  <w:style w:type="character" w:styleId="Accentuation">
    <w:name w:val="Emphasis"/>
    <w:basedOn w:val="Policepardfaut"/>
    <w:uiPriority w:val="99"/>
    <w:qFormat/>
    <w:rsid w:val="00F5385C"/>
    <w:rPr>
      <w:rFonts w:cs="Times New Roman"/>
      <w:i/>
    </w:rPr>
  </w:style>
  <w:style w:type="table" w:styleId="Grilledutableau">
    <w:name w:val="Table Grid"/>
    <w:basedOn w:val="TableauNormal"/>
    <w:uiPriority w:val="99"/>
    <w:rsid w:val="009A4BD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E3E9D"/>
    <w:rPr>
      <w:rFonts w:cs="Times New Roman"/>
      <w:color w:val="0000FF"/>
      <w:u w:val="single"/>
    </w:rPr>
  </w:style>
  <w:style w:type="paragraph" w:styleId="En-tte">
    <w:name w:val="header"/>
    <w:basedOn w:val="Normal"/>
    <w:link w:val="En-tteCar"/>
    <w:uiPriority w:val="99"/>
    <w:unhideWhenUsed/>
    <w:rsid w:val="00B337A9"/>
    <w:pPr>
      <w:tabs>
        <w:tab w:val="center" w:pos="4680"/>
        <w:tab w:val="right" w:pos="9360"/>
      </w:tabs>
    </w:pPr>
  </w:style>
  <w:style w:type="character" w:customStyle="1" w:styleId="En-tteCar">
    <w:name w:val="En-tête Car"/>
    <w:basedOn w:val="Policepardfaut"/>
    <w:link w:val="En-tte"/>
    <w:uiPriority w:val="99"/>
    <w:locked/>
    <w:rsid w:val="00B337A9"/>
    <w:rPr>
      <w:rFonts w:cs="Times New Roman"/>
    </w:rPr>
  </w:style>
  <w:style w:type="paragraph" w:styleId="Pieddepage">
    <w:name w:val="footer"/>
    <w:basedOn w:val="Normal"/>
    <w:link w:val="PieddepageCar"/>
    <w:uiPriority w:val="99"/>
    <w:unhideWhenUsed/>
    <w:rsid w:val="00B337A9"/>
    <w:pPr>
      <w:tabs>
        <w:tab w:val="center" w:pos="4680"/>
        <w:tab w:val="right" w:pos="9360"/>
      </w:tabs>
    </w:pPr>
  </w:style>
  <w:style w:type="character" w:customStyle="1" w:styleId="PieddepageCar">
    <w:name w:val="Pied de page Car"/>
    <w:basedOn w:val="Policepardfaut"/>
    <w:link w:val="Pieddepage"/>
    <w:uiPriority w:val="99"/>
    <w:locked/>
    <w:rsid w:val="00B337A9"/>
    <w:rPr>
      <w:rFonts w:cs="Times New Roman"/>
    </w:rPr>
  </w:style>
  <w:style w:type="table" w:customStyle="1" w:styleId="GridTableLight">
    <w:name w:val="Grid Table Light"/>
    <w:basedOn w:val="TableauNormal"/>
    <w:uiPriority w:val="40"/>
    <w:rsid w:val="006F715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aragraphedeliste">
    <w:name w:val="List Paragraph"/>
    <w:basedOn w:val="Normal"/>
    <w:uiPriority w:val="34"/>
    <w:qFormat/>
    <w:rsid w:val="00155789"/>
    <w:pPr>
      <w:ind w:left="720"/>
      <w:contextualSpacing/>
    </w:pPr>
  </w:style>
  <w:style w:type="paragraph" w:styleId="Lgende">
    <w:name w:val="caption"/>
    <w:basedOn w:val="Normal"/>
    <w:next w:val="Normal"/>
    <w:uiPriority w:val="35"/>
    <w:unhideWhenUsed/>
    <w:locked/>
    <w:rsid w:val="00903AAA"/>
    <w:pPr>
      <w:spacing w:line="240" w:lineRule="auto"/>
      <w:jc w:val="both"/>
    </w:pPr>
    <w:rPr>
      <w:rFonts w:asciiTheme="minorHAnsi" w:eastAsiaTheme="minorEastAsia" w:hAnsiTheme="minorHAnsi" w:cstheme="minorBidi"/>
      <w:b/>
      <w:bCs/>
      <w:color w:val="4F81BD" w:themeColor="accent1"/>
      <w:sz w:val="18"/>
      <w:szCs w:val="18"/>
      <w:lang w:bidi="en-US"/>
    </w:rPr>
  </w:style>
  <w:style w:type="paragraph" w:styleId="Textedebulles">
    <w:name w:val="Balloon Text"/>
    <w:basedOn w:val="Normal"/>
    <w:link w:val="TextedebullesCar"/>
    <w:uiPriority w:val="99"/>
    <w:rsid w:val="00903A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903AAA"/>
    <w:rPr>
      <w:rFonts w:ascii="Tahoma" w:hAnsi="Tahoma" w:cs="Tahoma"/>
      <w:sz w:val="16"/>
      <w:szCs w:val="16"/>
    </w:rPr>
  </w:style>
  <w:style w:type="character" w:styleId="lev">
    <w:name w:val="Strong"/>
    <w:basedOn w:val="Policepardfaut"/>
    <w:qFormat/>
    <w:locked/>
    <w:rsid w:val="0073389D"/>
    <w:rPr>
      <w:b/>
      <w:bCs/>
    </w:rPr>
  </w:style>
  <w:style w:type="paragraph" w:customStyle="1" w:styleId="EndNoteBibliographyTitle">
    <w:name w:val="EndNote Bibliography Title"/>
    <w:basedOn w:val="Normal"/>
    <w:link w:val="EndNoteBibliographyTitleCar"/>
    <w:rsid w:val="00A27683"/>
    <w:pPr>
      <w:spacing w:after="0"/>
      <w:jc w:val="center"/>
    </w:pPr>
    <w:rPr>
      <w:rFonts w:ascii="Times New Roman" w:hAnsi="Times New Roman"/>
      <w:noProof/>
    </w:rPr>
  </w:style>
  <w:style w:type="character" w:customStyle="1" w:styleId="EndNoteBibliographyTitleCar">
    <w:name w:val="EndNote Bibliography Title Car"/>
    <w:basedOn w:val="Policepardfaut"/>
    <w:link w:val="EndNoteBibliographyTitle"/>
    <w:rsid w:val="00A27683"/>
    <w:rPr>
      <w:rFonts w:ascii="Times New Roman" w:hAnsi="Times New Roman" w:cs="Times New Roman"/>
      <w:noProof/>
      <w:sz w:val="22"/>
      <w:szCs w:val="22"/>
    </w:rPr>
  </w:style>
  <w:style w:type="paragraph" w:customStyle="1" w:styleId="EndNoteBibliography">
    <w:name w:val="EndNote Bibliography"/>
    <w:basedOn w:val="Normal"/>
    <w:link w:val="EndNoteBibliographyCar"/>
    <w:rsid w:val="00A27683"/>
    <w:pPr>
      <w:spacing w:line="240" w:lineRule="auto"/>
    </w:pPr>
    <w:rPr>
      <w:rFonts w:ascii="Times New Roman" w:hAnsi="Times New Roman"/>
      <w:noProof/>
    </w:rPr>
  </w:style>
  <w:style w:type="character" w:customStyle="1" w:styleId="EndNoteBibliographyCar">
    <w:name w:val="EndNote Bibliography Car"/>
    <w:basedOn w:val="Policepardfaut"/>
    <w:link w:val="EndNoteBibliography"/>
    <w:rsid w:val="00A27683"/>
    <w:rPr>
      <w:rFonts w:ascii="Times New Roman" w:hAnsi="Times New Roman" w:cs="Times New Roman"/>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819"/>
    <w:pPr>
      <w:spacing w:after="200" w:line="276"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385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F5385C"/>
    <w:rPr>
      <w:rFonts w:cs="Times New Roman"/>
      <w:i/>
    </w:rPr>
  </w:style>
  <w:style w:type="table" w:styleId="TableGrid">
    <w:name w:val="Table Grid"/>
    <w:basedOn w:val="TableNormal"/>
    <w:uiPriority w:val="99"/>
    <w:rsid w:val="009A4BD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E9D"/>
    <w:rPr>
      <w:rFonts w:cs="Times New Roman"/>
      <w:color w:val="0000FF"/>
      <w:u w:val="single"/>
    </w:rPr>
  </w:style>
  <w:style w:type="paragraph" w:styleId="Header">
    <w:name w:val="header"/>
    <w:basedOn w:val="Normal"/>
    <w:link w:val="HeaderChar"/>
    <w:uiPriority w:val="99"/>
    <w:unhideWhenUsed/>
    <w:rsid w:val="00B337A9"/>
    <w:pPr>
      <w:tabs>
        <w:tab w:val="center" w:pos="4680"/>
        <w:tab w:val="right" w:pos="9360"/>
      </w:tabs>
    </w:pPr>
  </w:style>
  <w:style w:type="character" w:customStyle="1" w:styleId="HeaderChar">
    <w:name w:val="Header Char"/>
    <w:basedOn w:val="DefaultParagraphFont"/>
    <w:link w:val="Header"/>
    <w:uiPriority w:val="99"/>
    <w:locked/>
    <w:rsid w:val="00B337A9"/>
    <w:rPr>
      <w:rFonts w:cs="Times New Roman"/>
    </w:rPr>
  </w:style>
  <w:style w:type="paragraph" w:styleId="Footer">
    <w:name w:val="footer"/>
    <w:basedOn w:val="Normal"/>
    <w:link w:val="FooterChar"/>
    <w:uiPriority w:val="99"/>
    <w:unhideWhenUsed/>
    <w:rsid w:val="00B337A9"/>
    <w:pPr>
      <w:tabs>
        <w:tab w:val="center" w:pos="4680"/>
        <w:tab w:val="right" w:pos="9360"/>
      </w:tabs>
    </w:pPr>
  </w:style>
  <w:style w:type="character" w:customStyle="1" w:styleId="FooterChar">
    <w:name w:val="Footer Char"/>
    <w:basedOn w:val="DefaultParagraphFont"/>
    <w:link w:val="Footer"/>
    <w:uiPriority w:val="99"/>
    <w:locked/>
    <w:rsid w:val="00B337A9"/>
    <w:rPr>
      <w:rFonts w:cs="Times New Roman"/>
    </w:rPr>
  </w:style>
  <w:style w:type="table" w:customStyle="1" w:styleId="GridTableLight">
    <w:name w:val="Grid Table Light"/>
    <w:basedOn w:val="TableNormal"/>
    <w:uiPriority w:val="40"/>
    <w:rsid w:val="006F71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55789"/>
    <w:pPr>
      <w:ind w:left="720"/>
      <w:contextualSpacing/>
    </w:pPr>
  </w:style>
</w:styles>
</file>

<file path=word/webSettings.xml><?xml version="1.0" encoding="utf-8"?>
<w:webSettings xmlns:r="http://schemas.openxmlformats.org/officeDocument/2006/relationships" xmlns:w="http://schemas.openxmlformats.org/wordprocessingml/2006/main">
  <w:divs>
    <w:div w:id="1855221046">
      <w:marLeft w:val="0"/>
      <w:marRight w:val="0"/>
      <w:marTop w:val="0"/>
      <w:marBottom w:val="0"/>
      <w:divBdr>
        <w:top w:val="none" w:sz="0" w:space="0" w:color="auto"/>
        <w:left w:val="none" w:sz="0" w:space="0" w:color="auto"/>
        <w:bottom w:val="none" w:sz="0" w:space="0" w:color="auto"/>
        <w:right w:val="none" w:sz="0" w:space="0" w:color="auto"/>
      </w:divBdr>
    </w:div>
    <w:div w:id="1855221047">
      <w:marLeft w:val="0"/>
      <w:marRight w:val="0"/>
      <w:marTop w:val="0"/>
      <w:marBottom w:val="0"/>
      <w:divBdr>
        <w:top w:val="none" w:sz="0" w:space="0" w:color="auto"/>
        <w:left w:val="none" w:sz="0" w:space="0" w:color="auto"/>
        <w:bottom w:val="none" w:sz="0" w:space="0" w:color="auto"/>
        <w:right w:val="none" w:sz="0" w:space="0" w:color="auto"/>
      </w:divBdr>
    </w:div>
    <w:div w:id="1855221048">
      <w:marLeft w:val="0"/>
      <w:marRight w:val="0"/>
      <w:marTop w:val="0"/>
      <w:marBottom w:val="0"/>
      <w:divBdr>
        <w:top w:val="none" w:sz="0" w:space="0" w:color="auto"/>
        <w:left w:val="none" w:sz="0" w:space="0" w:color="auto"/>
        <w:bottom w:val="none" w:sz="0" w:space="0" w:color="auto"/>
        <w:right w:val="none" w:sz="0" w:space="0" w:color="auto"/>
      </w:divBdr>
    </w:div>
    <w:div w:id="1855221049">
      <w:marLeft w:val="0"/>
      <w:marRight w:val="0"/>
      <w:marTop w:val="0"/>
      <w:marBottom w:val="0"/>
      <w:divBdr>
        <w:top w:val="none" w:sz="0" w:space="0" w:color="auto"/>
        <w:left w:val="none" w:sz="0" w:space="0" w:color="auto"/>
        <w:bottom w:val="none" w:sz="0" w:space="0" w:color="auto"/>
        <w:right w:val="none" w:sz="0" w:space="0" w:color="auto"/>
      </w:divBdr>
    </w:div>
    <w:div w:id="1855221050">
      <w:marLeft w:val="0"/>
      <w:marRight w:val="0"/>
      <w:marTop w:val="0"/>
      <w:marBottom w:val="0"/>
      <w:divBdr>
        <w:top w:val="none" w:sz="0" w:space="0" w:color="auto"/>
        <w:left w:val="none" w:sz="0" w:space="0" w:color="auto"/>
        <w:bottom w:val="none" w:sz="0" w:space="0" w:color="auto"/>
        <w:right w:val="none" w:sz="0" w:space="0" w:color="auto"/>
      </w:divBdr>
    </w:div>
    <w:div w:id="1855221051">
      <w:marLeft w:val="0"/>
      <w:marRight w:val="0"/>
      <w:marTop w:val="0"/>
      <w:marBottom w:val="0"/>
      <w:divBdr>
        <w:top w:val="none" w:sz="0" w:space="0" w:color="auto"/>
        <w:left w:val="none" w:sz="0" w:space="0" w:color="auto"/>
        <w:bottom w:val="none" w:sz="0" w:space="0" w:color="auto"/>
        <w:right w:val="none" w:sz="0" w:space="0" w:color="auto"/>
      </w:divBdr>
    </w:div>
    <w:div w:id="1855221052">
      <w:marLeft w:val="0"/>
      <w:marRight w:val="0"/>
      <w:marTop w:val="0"/>
      <w:marBottom w:val="0"/>
      <w:divBdr>
        <w:top w:val="none" w:sz="0" w:space="0" w:color="auto"/>
        <w:left w:val="none" w:sz="0" w:space="0" w:color="auto"/>
        <w:bottom w:val="none" w:sz="0" w:space="0" w:color="auto"/>
        <w:right w:val="none" w:sz="0" w:space="0" w:color="auto"/>
      </w:divBdr>
    </w:div>
    <w:div w:id="1855221053">
      <w:marLeft w:val="0"/>
      <w:marRight w:val="0"/>
      <w:marTop w:val="0"/>
      <w:marBottom w:val="0"/>
      <w:divBdr>
        <w:top w:val="none" w:sz="0" w:space="0" w:color="auto"/>
        <w:left w:val="none" w:sz="0" w:space="0" w:color="auto"/>
        <w:bottom w:val="none" w:sz="0" w:space="0" w:color="auto"/>
        <w:right w:val="none" w:sz="0" w:space="0" w:color="auto"/>
      </w:divBdr>
    </w:div>
    <w:div w:id="1855221054">
      <w:marLeft w:val="0"/>
      <w:marRight w:val="0"/>
      <w:marTop w:val="0"/>
      <w:marBottom w:val="0"/>
      <w:divBdr>
        <w:top w:val="none" w:sz="0" w:space="0" w:color="auto"/>
        <w:left w:val="none" w:sz="0" w:space="0" w:color="auto"/>
        <w:bottom w:val="none" w:sz="0" w:space="0" w:color="auto"/>
        <w:right w:val="none" w:sz="0" w:space="0" w:color="auto"/>
      </w:divBdr>
    </w:div>
    <w:div w:id="1855221055">
      <w:marLeft w:val="0"/>
      <w:marRight w:val="0"/>
      <w:marTop w:val="0"/>
      <w:marBottom w:val="0"/>
      <w:divBdr>
        <w:top w:val="none" w:sz="0" w:space="0" w:color="auto"/>
        <w:left w:val="none" w:sz="0" w:space="0" w:color="auto"/>
        <w:bottom w:val="none" w:sz="0" w:space="0" w:color="auto"/>
        <w:right w:val="none" w:sz="0" w:space="0" w:color="auto"/>
      </w:divBdr>
    </w:div>
    <w:div w:id="1855221056">
      <w:marLeft w:val="0"/>
      <w:marRight w:val="0"/>
      <w:marTop w:val="0"/>
      <w:marBottom w:val="0"/>
      <w:divBdr>
        <w:top w:val="none" w:sz="0" w:space="0" w:color="auto"/>
        <w:left w:val="none" w:sz="0" w:space="0" w:color="auto"/>
        <w:bottom w:val="none" w:sz="0" w:space="0" w:color="auto"/>
        <w:right w:val="none" w:sz="0" w:space="0" w:color="auto"/>
      </w:divBdr>
    </w:div>
    <w:div w:id="1855221057">
      <w:marLeft w:val="0"/>
      <w:marRight w:val="0"/>
      <w:marTop w:val="0"/>
      <w:marBottom w:val="0"/>
      <w:divBdr>
        <w:top w:val="none" w:sz="0" w:space="0" w:color="auto"/>
        <w:left w:val="none" w:sz="0" w:space="0" w:color="auto"/>
        <w:bottom w:val="none" w:sz="0" w:space="0" w:color="auto"/>
        <w:right w:val="none" w:sz="0" w:space="0" w:color="auto"/>
      </w:divBdr>
    </w:div>
    <w:div w:id="1855221058">
      <w:marLeft w:val="0"/>
      <w:marRight w:val="0"/>
      <w:marTop w:val="0"/>
      <w:marBottom w:val="0"/>
      <w:divBdr>
        <w:top w:val="none" w:sz="0" w:space="0" w:color="auto"/>
        <w:left w:val="none" w:sz="0" w:space="0" w:color="auto"/>
        <w:bottom w:val="none" w:sz="0" w:space="0" w:color="auto"/>
        <w:right w:val="none" w:sz="0" w:space="0" w:color="auto"/>
      </w:divBdr>
    </w:div>
    <w:div w:id="1855221059">
      <w:marLeft w:val="0"/>
      <w:marRight w:val="0"/>
      <w:marTop w:val="0"/>
      <w:marBottom w:val="0"/>
      <w:divBdr>
        <w:top w:val="none" w:sz="0" w:space="0" w:color="auto"/>
        <w:left w:val="none" w:sz="0" w:space="0" w:color="auto"/>
        <w:bottom w:val="none" w:sz="0" w:space="0" w:color="auto"/>
        <w:right w:val="none" w:sz="0" w:space="0" w:color="auto"/>
      </w:divBdr>
    </w:div>
    <w:div w:id="1855221060">
      <w:marLeft w:val="0"/>
      <w:marRight w:val="0"/>
      <w:marTop w:val="0"/>
      <w:marBottom w:val="0"/>
      <w:divBdr>
        <w:top w:val="none" w:sz="0" w:space="0" w:color="auto"/>
        <w:left w:val="none" w:sz="0" w:space="0" w:color="auto"/>
        <w:bottom w:val="none" w:sz="0" w:space="0" w:color="auto"/>
        <w:right w:val="none" w:sz="0" w:space="0" w:color="auto"/>
      </w:divBdr>
    </w:div>
    <w:div w:id="1855221061">
      <w:marLeft w:val="0"/>
      <w:marRight w:val="0"/>
      <w:marTop w:val="0"/>
      <w:marBottom w:val="0"/>
      <w:divBdr>
        <w:top w:val="none" w:sz="0" w:space="0" w:color="auto"/>
        <w:left w:val="none" w:sz="0" w:space="0" w:color="auto"/>
        <w:bottom w:val="none" w:sz="0" w:space="0" w:color="auto"/>
        <w:right w:val="none" w:sz="0" w:space="0" w:color="auto"/>
      </w:divBdr>
    </w:div>
    <w:div w:id="1855221062">
      <w:marLeft w:val="0"/>
      <w:marRight w:val="0"/>
      <w:marTop w:val="0"/>
      <w:marBottom w:val="0"/>
      <w:divBdr>
        <w:top w:val="none" w:sz="0" w:space="0" w:color="auto"/>
        <w:left w:val="none" w:sz="0" w:space="0" w:color="auto"/>
        <w:bottom w:val="none" w:sz="0" w:space="0" w:color="auto"/>
        <w:right w:val="none" w:sz="0" w:space="0" w:color="auto"/>
      </w:divBdr>
    </w:div>
    <w:div w:id="1855221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n.ulaval.ca/nordicana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8</Pages>
  <Words>4984</Words>
  <Characters>27417</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Emi Fergus</dc:creator>
  <cp:lastModifiedBy>Maxime Wauthy</cp:lastModifiedBy>
  <cp:revision>83</cp:revision>
  <dcterms:created xsi:type="dcterms:W3CDTF">2017-05-01T18:00:00Z</dcterms:created>
  <dcterms:modified xsi:type="dcterms:W3CDTF">2017-07-27T19:47:00Z</dcterms:modified>
</cp:coreProperties>
</file>